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b623df8a0245a7ac65f12bec91785f1ef7f16d"/>
    <w:p>
      <w:pPr>
        <w:pStyle w:val="Heading3"/>
      </w:pPr>
      <w:r>
        <w:t xml:space="preserve">В Чертаново Южное состоится митинг-концерт посвященный 70-летию великой победы</w:t>
      </w:r>
    </w:p>
    <w:p>
      <w:pPr>
        <w:pStyle w:val="FirstParagraph"/>
      </w:pPr>
      <w:r>
        <w:t xml:space="preserve">28.04.2015</w:t>
      </w:r>
    </w:p>
    <w:p>
      <w:pPr>
        <w:pStyle w:val="BodyText"/>
      </w:pPr>
      <w:r>
        <w:drawing>
          <wp:inline>
            <wp:extent cx="5334000" cy="754418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TOPMAN/of-december-2014/Награды/Афиша%20на%20митинг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41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http://chertanovo-juzhnoe.mos.ru/towards-the-70th-anniversary-of-the.-victory-in-the-great-patriotic-war-of-1941-1945/detail/1803325.html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towards-the-70th-anniversary-of-the.-victory-in-the-great-patriotic-war-of-1941-1945/detail/180332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towards-the-70th-anniversary-of-the.-victory-in-the-great-patriotic-war-of-1941-1945/detail/180332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2025-06-28T15:18:50Z</dcterms:created>
  <dcterms:modified xsi:type="dcterms:W3CDTF">2025-06-28T15:18:50Z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