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90996b26b22c7a20d6c6047e6077b74ec25a27"/>
    <w:p>
      <w:pPr>
        <w:pStyle w:val="Heading3"/>
      </w:pPr>
      <w:r>
        <w:t xml:space="preserve">Бессмертный полк - сохрани имена тех, кто сохранил тебе жизнь!</w:t>
      </w:r>
    </w:p>
    <w:p>
      <w:pPr>
        <w:pStyle w:val="FirstParagraph"/>
      </w:pPr>
      <w:r>
        <w:t xml:space="preserve">16.02.2015</w:t>
      </w:r>
    </w:p>
    <w:p>
      <w:pPr>
        <w:pStyle w:val="BodyText"/>
      </w:pPr>
      <w:r>
        <w:drawing>
          <wp:inline>
            <wp:extent cx="5334000" cy="754180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сохрани%20имена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18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http://chertanovo-juzhnoe.mos.ru/towards-the-70th-anniversary-of-the.-victory-in-the-great-patriotic-war-of-1941-1945/detail/1588797.html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towards-the-70th-anniversary-of-the.-victory-in-the-great-patriotic-war-of-1941-1945/detail/15887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towards-the-70th-anniversary-of-the.-victory-in-the-great-patriotic-war-of-1941-1945/detail/15887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2024-11-02T03:28:50Z</dcterms:created>
  <dcterms:modified xsi:type="dcterms:W3CDTF">2024-11-02T03:28:50Z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