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bfb3a4c6f83ef4184fc05388862a4426ae8595"/>
    <w:p>
      <w:pPr>
        <w:pStyle w:val="Heading3"/>
      </w:pPr>
      <w:r>
        <w:t xml:space="preserve">Мероприятие, посвященное Дню Победы у офиса ПараАртийского центра “Иван да Марья” по адресу ул.Россошанская д.4, корп.4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“Победа ценой великой нам досталась. Победа – солдатской кровью пропиталась…” мероприятие, посвященное Дню Победы у офиса ПараАртийского центра “Иван да Марья” по адресу ул.Россошанская д.4, корп.4 с участием ветеранов ВОВ населения района Чертаново Южное.</w:t>
      </w:r>
    </w:p>
    <w:p>
      <w:pPr>
        <w:pStyle w:val="BodyText"/>
      </w:pPr>
      <w:r>
        <w:drawing>
          <wp:inline>
            <wp:extent cx="5334000" cy="35363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ДП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8341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ДП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338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ДП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33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91125" cy="64198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ДП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http://chertanovo-juzhnoe.mos.ru/towards-the-70th-anniversary-of-the.-victory-in-the-great-patriotic-war-of-1941-1945/detail/1038301.html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038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038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2025-07-25T07:49:48Z</dcterms:created>
  <dcterms:modified xsi:type="dcterms:W3CDTF">2025-07-25T07:49:48Z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