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51539cd7013d4c7cfe9b757deea9be600479c9"/>
    <w:p>
      <w:pPr>
        <w:pStyle w:val="Heading3"/>
      </w:pPr>
      <w:r>
        <w:t xml:space="preserve">В ЕГРН внесены сведения об охранной зоне и зоне регулирования застройки и хозяйственной деятельности Новодевичьего монастыря</w:t>
      </w:r>
    </w:p>
    <w:p>
      <w:pPr>
        <w:pStyle w:val="FirstParagraph"/>
      </w:pPr>
      <w:r>
        <w:t xml:space="preserve">01.10.2018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Новодевичий монастырь - один из самых удивительных по красоте архитектурных ансамблей города Москвы. Монастырь расположен на юго-западе города, на своеобразном полуострове, окруженном с трёх сторон рекой Москвой, и представляет собой ансамбль из 14 зданий, включающих жилые и хозяйственные постройки, колокольни, церкви.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Новодевичий монастырь основан в 1524 году великим князем Василием III в честь возвращения древнего Смоленска в состав Московского княжества. Собор</w:t>
      </w:r>
      <w:bookmarkStart w:id="20" w:name="X1207a264b4c9f4df21fde20366a046b31aef217"/>
      <w:bookmarkEnd w:id="20"/>
      <w:r>
        <w:t xml:space="preserve">ный храм обители построили по образцу Успенского собора Кремля. Ансамбль Новодевичьего монастыря является одним из шедевров русского зодчества (стиль «Московское барокко») и важной градостроительной доминантой города Москвы.</w:t>
      </w:r>
    </w:p>
    <w:p>
      <w:pPr>
        <w:pStyle w:val="BodyText"/>
      </w:pPr>
      <w:r>
        <w:t xml:space="preserve">За шесть веков существования монастырь стал эпицентром самых разнообразных событий истории страны, пережил ее многие знаковые и трагические моменты: создание Московского государства, эпоху Смуты, войны, перевороты, революции, кампании сначала по уничтожению, а потом по восстановлению православных символов.</w:t>
      </w:r>
    </w:p>
    <w:p>
      <w:pPr>
        <w:pStyle w:val="BodyText"/>
      </w:pPr>
      <w:r>
        <w:t xml:space="preserve">Ансамбль Новодевичьего монастыря включен в список всемирного наследия ЮНЕСКО и является объектом культурного наследия федерального назначения.</w:t>
      </w:r>
    </w:p>
    <w:p>
      <w:pPr>
        <w:pStyle w:val="BodyText"/>
      </w:pPr>
      <w:r>
        <w:t xml:space="preserve">В целях обеспечения сохранности Новодевичьего монастыря, Кадастровой палатой по Москве совместно с Мосгорнаследием в Единый государственный реестр недвижимости внесены сведения в отношении охранной зоны объекта культурного наследия федерального значения «Ансамбль Новодевичьего монастыря» и зоны регулирования застройки и хозяйственной деятельности объекта культурного наследия федерального значения «Ансамбль Новодевичьего монастыря».</w:t>
      </w:r>
    </w:p>
    <w:p>
      <w:pPr>
        <w:pStyle w:val="BodyText"/>
      </w:pPr>
      <w:r>
        <w:t xml:space="preserve">С помощью электронного сервиса Росреестра - «Публичная кадастровая карта» (http://pkk5.rosreestr.ru) в разделе (слое) «Зоны с особыми условиями использования территории (ЗОУИТ)» можно ознакомиться с границами охранных зон в отношении Новодевичьего монастыря.</w:t>
      </w:r>
    </w:p>
    <w:p>
      <w:pPr>
        <w:pStyle w:val="BodyText"/>
      </w:pPr>
      <w:r>
        <w:t xml:space="preserve">Внесение в реестр недвижимости сведений об объектах культурного наследия позволяет исключить нарушения законодательства при планировании развития территорий. Кроме того, наличие полных и достоверных сведений о правовом режиме использования объектов недвижимости снижает риски при осуществлении инвестиционной и предпринимательской деятельности.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rPr>
          <w:bCs/>
          <w:b/>
        </w:rPr>
        <w:t xml:space="preserve">О Кадастровой палате по Москве</w:t>
      </w:r>
    </w:p>
    <w:p>
      <w:pPr>
        <w:pStyle w:val="BodyText"/>
      </w:pPr>
      <w:r>
        <w:t xml:space="preserve">Кадастровая палата по Москве (филиал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Москве) – обособленное подразделение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(ФГБУ «ФКП Росреестра»).</w:t>
      </w:r>
    </w:p>
    <w:p>
      <w:pPr>
        <w:pStyle w:val="BodyText"/>
      </w:pPr>
      <w:r>
        <w:t xml:space="preserve">Кадастровая палата по Москве реализует на территории Москвы полномочия ФГБУ «ФКП Росреестра» по приему-выдаче документов на государственный кадастровый учет и государственную регистрацию прав на недвижимое имущество, а также предоставлению сведений, содержащихся в Едином государственном реестре недвижимости.</w:t>
      </w:r>
    </w:p>
    <w:p>
      <w:pPr>
        <w:pStyle w:val="BodyText"/>
      </w:pPr>
      <w:r>
        <w:t xml:space="preserve">_____________________________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Кон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http://chertanovo-juzhnoe.mos.ru/topical-issues/detail/7604069.html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opical-issues/detail/76040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opical-issues/detail/76040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2025-04-10T02:53:11Z</dcterms:created>
  <dcterms:modified xsi:type="dcterms:W3CDTF">2025-04-10T02:53:11Z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