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d4386398d6e41d6c8e19c310b342697fdcb9476"/>
    <w:p>
      <w:pPr>
        <w:pStyle w:val="Heading3"/>
      </w:pPr>
      <w:r>
        <w:t xml:space="preserve">Кадастровая палата по Москве участвует в реализации целевых моделей по повышению инвестиционной привлекательности столицы</w:t>
      </w:r>
    </w:p>
    <w:p>
      <w:pPr>
        <w:pStyle w:val="FirstParagraph"/>
      </w:pPr>
      <w:r>
        <w:t xml:space="preserve">18.09.2018</w:t>
      </w:r>
    </w:p>
    <w:p>
      <w:pPr>
        <w:pStyle w:val="BodyText"/>
      </w:pPr>
      <w:r>
        <w:t xml:space="preserve">   Кадастровая палата по Москве на постоянной основе проводит комплекс мероприятий по достижению показателей целевой модели «Постановка на кадастровый учет земельных участков и объектов недвижимого имущества» (далее - целевая модель). Реализация данной модели направлена на снижение административных барьеров, сокращение сроков предоставления государственных услуг, а также на развитие бесконтактных технологий общения Росреестра с гражданами – увеличение доли услуг, оказанных в электронном виде и через офисы ГБУ «Многофункциональный центр».</w:t>
      </w:r>
    </w:p>
    <w:p>
      <w:pPr>
        <w:pStyle w:val="BodyText"/>
      </w:pPr>
      <w:r>
        <w:t xml:space="preserve">По итогам 1 полугодия 2018 года Кадастровой палатой по Москве совместно с органами исполнительной власти столицы достигнут ряд целевых показателей, направленных на упрощение процедуры ведения бизнеса и улучшения инвестиционной привлекательности города Москвы.</w:t>
      </w:r>
    </w:p>
    <w:p>
      <w:pPr>
        <w:pStyle w:val="BodyText"/>
      </w:pPr>
      <w:r>
        <w:t xml:space="preserve">Так, целевыми моделями установлено, что к концу 2018 года доля заявлений о постановке на кадастровый учет и регистрацию прав, поданных в электронном виде, должна составлять не менее 50 %. По состоянию на 1 июля 2018 года данный показатель на территории города Москвы превышает 70 %.</w:t>
      </w:r>
    </w:p>
    <w:p>
      <w:pPr>
        <w:pStyle w:val="BodyText"/>
      </w:pPr>
      <w:r>
        <w:t xml:space="preserve">Снизилось количество решений об отказе и приостановлении при проведении регистрации прав и кадастрового учета. Так, по состоянию на 1 июля 2018 года доля решений о приостановлении по кадастровому учету с одновременной регистрацией прав составляет 7,1 % (целевое значение на 31.12.2018 – 17 %), отказов – 3,1 % (целевое значение – 9 %).</w:t>
      </w:r>
    </w:p>
    <w:p>
      <w:pPr>
        <w:pStyle w:val="BodyText"/>
      </w:pPr>
      <w:r>
        <w:t xml:space="preserve">Выполнение одного из ключевых показателей целевых моделей – снижение количества приостановлений и отказов во многом зависит не только от совместных действий Кадастровой палаты по Москве и Управления Росреестра по Москве, но и от уровня квалификации кадастровых инженеров, а также от качества подготовки ими технических и межевых планов.</w:t>
      </w:r>
    </w:p>
    <w:p>
      <w:pPr>
        <w:pStyle w:val="BodyText"/>
      </w:pPr>
      <w:r>
        <w:t xml:space="preserve">С целью повышения качества предоставляемых услуг Кадастровая палата активно взаимодействует с кадастровыми инженерами и саморегулируемыми организациями, контролирующими их деятельность. Для снижения количества приостановлений учреждением регулярно проводятся обучающие семинары с кадастровыми инженерами, на которых детально разбираются ошибки, допускаемые ими при подготовке технических и межевых планов, а также освещаются возможности электронных сервисов Росреестра.</w:t>
      </w:r>
    </w:p>
    <w:p>
      <w:pPr>
        <w:pStyle w:val="BodyText"/>
      </w:pPr>
      <w:r>
        <w:t xml:space="preserve">Большое значение в целевой модели по кадастровому учету отведено работе по внесению в ЕГРН сведений о границах между субъектами России и населенных пунктов. Наличие в ЕГРН актуальных сведений позволяет обеспечить соблюдение требований законодательства при проведении кадастрового учета, что повышает защищенность имущественных прав субъектов, юридических лиц и граждан. Кроме того, актуальная информация о границах позволяет эффективно управлять территориями и земельными ресурсами регионов, а также увеличивает инвестиционную привлекательность субъектов Российской Федерации.</w:t>
      </w:r>
    </w:p>
    <w:p>
      <w:pPr>
        <w:pStyle w:val="BodyText"/>
      </w:pPr>
      <w:r>
        <w:t xml:space="preserve">В соответствии с целевой моделью к концу 2018 года в реестр недвижимости необходимо внести 37 % границ населенных пунктов и 39 % границ субъектов Российской Федерации. Следует отметить, что Москва является одним из регионов, которая успешно завершила работы по внесению сведений в ЕГРН о границах территориальных образований в полном объеме (100%).</w:t>
      </w:r>
    </w:p>
    <w:p>
      <w:pPr>
        <w:pStyle w:val="BodyText"/>
      </w:pPr>
      <w:r>
        <w:t xml:space="preserve">Целевая модель по кадастровому учету призвана повысить эффективность постановки объектов недвижимости на кадастровый учет, а также упростить процедуру предоставления земельных участков, находящихся в государственной и муниципальной собственности. Совершенствование этих процедур способствует обеспечению устойчивости социально-экономического развития страны, повышению качества жизни граждан.</w:t>
      </w:r>
    </w:p>
    <w:p>
      <w:pPr>
        <w:pStyle w:val="BodyText"/>
      </w:pPr>
      <w:r>
        <w:rPr>
          <w:bCs/>
          <w:b/>
        </w:rPr>
        <w:t xml:space="preserve">Для справки:</w:t>
      </w:r>
    </w:p>
    <w:p>
      <w:pPr>
        <w:pStyle w:val="BodyText"/>
      </w:pPr>
      <w:r>
        <w:t xml:space="preserve">Целевая модель «Постановка на кадастровый учет земельных участков и объектов недвижимого имущества» с 01 июля 2018 года дополнена 4 новыми показателями:</w:t>
      </w:r>
    </w:p>
    <w:p>
      <w:pPr>
        <w:pStyle w:val="BodyText"/>
      </w:pPr>
      <w:r>
        <w:t xml:space="preserve">1. Доля принятых решений об отказе в утверждении схемы расположения земельного участка на кадастровом плане территории;</w:t>
      </w:r>
    </w:p>
    <w:p>
      <w:pPr>
        <w:pStyle w:val="BodyText"/>
      </w:pPr>
      <w:r>
        <w:t xml:space="preserve">2. Доля принятых решений об отказе в присвоении адреса вновь образованным земельным участкам и вновь созданным объектам капитального строительства;</w:t>
      </w:r>
    </w:p>
    <w:p>
      <w:pPr>
        <w:pStyle w:val="BodyText"/>
      </w:pPr>
      <w:r>
        <w:t xml:space="preserve">3. Доля ошибок, допущенных сотрудниками МФЦ при приеме документов на государственный кадастровый учет, в том числе с одновременной регистрацией прав;</w:t>
      </w:r>
    </w:p>
    <w:p>
      <w:pPr>
        <w:pStyle w:val="BodyText"/>
      </w:pPr>
      <w:r>
        <w:t xml:space="preserve">4. Доля пакетов документов, принятых в МФЦ на государственный кадастровый учет, в том числе с одновременной регистрацией прав, и в отношении которых сотрудником МФЦ не осуществлено или осуществлено некачественное сканирование.</w:t>
      </w:r>
    </w:p>
    <w:p>
      <w:pPr>
        <w:pStyle w:val="BodyText"/>
      </w:pPr>
      <w:r>
        <w:t xml:space="preserve">В настоящее время в целевой модели 22 показателя.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О Кадастровой палате по Москве</w:t>
      </w:r>
    </w:p>
    <w:p>
      <w:pPr>
        <w:pStyle w:val="BodyText"/>
      </w:pPr>
      <w:r>
        <w:t xml:space="preserve">Кадастровая палата по Москве (филиал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Москве) – обособленное подразделение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(ФГБУ «ФКП Росреестра»).</w:t>
      </w:r>
    </w:p>
    <w:p>
      <w:pPr>
        <w:pStyle w:val="BodyText"/>
      </w:pPr>
      <w:r>
        <w:t xml:space="preserve">Кадастровая палата по Москве реализует на территории Москвы полномочия ФГБУ «ФКП Росреестра» по приему-выдаче документов на государственный кадастровый учет и государственную регистрацию прав на недвижимое имущество, а также предоставлению сведений, содержащихся в Едином государственном реестре недвижимости.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http://chertanovo-juzhnoe.mos.ru/topical-issues/detail/7577991.html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topical-issues/detail/757799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topical-issues/detail/757799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2025-06-08T02:09:19Z</dcterms:created>
  <dcterms:modified xsi:type="dcterms:W3CDTF">2025-06-08T02:09:19Z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