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9c5b78ca726a519c2f0b95ab00a616f242098"/>
    <w:p>
      <w:pPr>
        <w:pStyle w:val="Heading3"/>
      </w:pPr>
      <w:r>
        <w:t xml:space="preserve">Росреестр учредил награду в честь 10-летия ведомства.</w:t>
      </w:r>
    </w:p>
    <w:p>
      <w:pPr>
        <w:pStyle w:val="FirstParagraph"/>
      </w:pPr>
      <w:r>
        <w:t xml:space="preserve">18.04.2018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ознаменование юбилейной даты с момента образования Росреестра учрежден нагрудный знак «10 лет Росреестру».</w:t>
      </w:r>
    </w:p>
    <w:p>
      <w:pPr>
        <w:pStyle w:val="BodyText"/>
      </w:pPr>
      <w:r>
        <w:t xml:space="preserve">Новая награда представляет собой колодку с подвеской, изготавливается из золотистого металла (томпака). Подвеска диаметром 35 мм имеет форму 8-конечной звезды со скругленными углами с эмблемой Росреестра и гранями в виде сияния. На лицевой стороне – барельефное изображение большой эмблемы Росреестра, сопровождаемое снизу лентой с надписью  «10 ЛЕТ РОСРЕЕСТРУ».</w:t>
      </w:r>
      <w:r>
        <w:br/>
      </w:r>
      <w:r>
        <w:t xml:space="preserve">Знаком «10 лет Росреестру» предполагается награждать гражданских служащих, работников центрального аппарата, территориальных органов и подведомственных организаций Росреестра за значительный вклад в становление, развитие и совершенствование ведомства. Также знак может быть вручен представителям иных госорганов – за содействие в развитии Росреестра, а также за плодотворное сотрудничество с ним.</w:t>
      </w:r>
      <w:r>
        <w:br/>
      </w:r>
      <w:r>
        <w:t xml:space="preserve">Награду положено носить на правой стороне груди, располагая ее «по старшинству» после знака Росреестра «За безупречный труд» и ниже всех государственных наград Российской Федерации. Вместе с нагрудным знаком вручается удостоверение установленного образца.</w:t>
      </w:r>
    </w:p>
    <w:p>
      <w:pPr>
        <w:pStyle w:val="BodyText"/>
      </w:pPr>
      <w:r>
        <w:t xml:space="preserve">Знак «10 лет Росреестру» вручается одному лицу только один раз – повторное награждение наградным знаком не производится.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 Кадастровой палате по Москве</w:t>
      </w:r>
    </w:p>
    <w:p>
      <w:pPr>
        <w:pStyle w:val="BodyText"/>
      </w:pPr>
      <w:r>
        <w:t xml:space="preserve">Кадастровая палата по Москве (филиал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Москве) – обособленное подразделение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(ФГБУ «ФКП Росреестра»).</w:t>
      </w:r>
    </w:p>
    <w:p>
      <w:pPr>
        <w:pStyle w:val="BodyText"/>
      </w:pPr>
      <w:r>
        <w:t xml:space="preserve">Кадастровая палата по Москве реализует на территории Москвы полномочия ФГБУ «ФКП Росреестра» по приему-выдаче документов на государственный кадастровый учет и государственную регистрацию прав на недвижимое имущество, а также предоставлению сведений, содержащихся в Едином государственном реестре недвижимости.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http://chertanovo-juzhnoe.mos.ru/topical-issues/detail/7273560.html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2735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2735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2025-02-22T05:16:40Z</dcterms:created>
  <dcterms:modified xsi:type="dcterms:W3CDTF">2025-02-22T05:16:40Z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