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как-уберечь-ребенка-от-падения-из-окна."/>
    <w:p>
      <w:pPr>
        <w:pStyle w:val="Heading3"/>
      </w:pPr>
      <w:r>
        <w:t xml:space="preserve">Как уберечь ребенка от падения из окна.</w:t>
      </w:r>
    </w:p>
    <w:p>
      <w:pPr>
        <w:pStyle w:val="FirstParagraph"/>
      </w:pPr>
      <w:r>
        <w:t xml:space="preserve">22.08.2018</w:t>
      </w:r>
    </w:p>
    <w:p>
      <w:pPr>
        <w:pStyle w:val="BodyText"/>
      </w:pPr>
      <w:r>
        <w:drawing>
          <wp:inline>
            <wp:extent cx="4610100" cy="70104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e9/7731768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http://chertanovo-juzhnoe.mos.ru/the-commission-on-affairs-of-minors-and-protection-of-their-rights-chertanovo-yuzhnoye-district/general-information/detail/7525987.html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he-commission-on-affairs-of-minors-and-protection-of-their-rights-chertanovo-yuzhnoye-district/general-information/detail/75259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he-commission-on-affairs-of-minors-and-protection-of-their-rights-chertanovo-yuzhnoye-district/general-information/detail/75259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2025-04-10T02:50:16Z</dcterms:created>
  <dcterms:modified xsi:type="dcterms:W3CDTF">2025-04-10T02:50:16Z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