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e36ac1b0e3e6d627e36769c7cc1928793ec6d"/>
    <w:p>
      <w:pPr>
        <w:pStyle w:val="Heading3"/>
      </w:pPr>
      <w:r>
        <w:t xml:space="preserve">Состояние учета несовершеннолетних Диаграммы 2016 год</w:t>
      </w:r>
    </w:p>
    <w:p>
      <w:pPr>
        <w:pStyle w:val="FirstParagraph"/>
      </w:pPr>
      <w:r>
        <w:t xml:space="preserve">27.04.2016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http://chertanovo-juzhnoe.mos.ru/the-commission-on-affairs-of-minors-and-protection-of-their-rights-chertanovo-yuzhnoye-district/general-information/detail/2860943.html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the-commission-on-affairs-of-minors-and-protection-of-their-rights-chertanovo-yuzhnoye-district/general-information/detail/28609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the-commission-on-affairs-of-minors-and-protection-of-their-rights-chertanovo-yuzhnoye-district/general-information/detail/28609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2025-02-25T08:20:21Z</dcterms:created>
  <dcterms:modified xsi:type="dcterms:W3CDTF">2025-02-25T08:20:21Z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