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4b8f2c922f7d5e9bb5bec883a1bcbade802d79"/>
    <w:p>
      <w:pPr>
        <w:pStyle w:val="Heading3"/>
      </w:pPr>
      <w:r>
        <w:t xml:space="preserve">Управление Роспотребнадзора по г. Москве с 22 мая по 2 июня 2023 года проводит тематическое консультирование граждан по вопросам детского отдыха, качества и безопасности детских товаров</w:t>
      </w:r>
    </w:p>
    <w:p>
      <w:pPr>
        <w:pStyle w:val="FirstParagraph"/>
      </w:pPr>
      <w:r>
        <w:t xml:space="preserve">22.05.2023</w:t>
      </w:r>
    </w:p>
    <w:p>
      <w:pPr>
        <w:pStyle w:val="BodyText"/>
      </w:pPr>
      <w:r>
        <w:drawing>
          <wp:inline>
            <wp:extent cx="5200650" cy="69532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765/8dyrlntjy326dbmal0f1xt28dob92ewe/Snimo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http://chertanovo-juzhnoe.mos.ru/social-sphere/informatsiya/detail/11601154.html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ocial-sphere/informatsiya/detail/116011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ocial-sphere/informatsiya/detail/116011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2023-09-20T12:06:35Z</dcterms:created>
  <dcterms:modified xsi:type="dcterms:W3CDTF">2023-09-20T12:06:35Z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