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6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5ed5888a618b3ed4e6222c7bc74729dbdf60237"/>
    <w:p>
      <w:pPr>
        <w:pStyle w:val="Heading3"/>
      </w:pPr>
      <w:r>
        <w:t xml:space="preserve">15 декабря 2016 г. в районе Чертаново Южное состоялось мероприятие "День Донора"</w:t>
      </w:r>
    </w:p>
    <w:p>
      <w:pPr>
        <w:pStyle w:val="FirstParagraph"/>
      </w:pPr>
      <w:r>
        <w:t xml:space="preserve">26.12.2016</w:t>
      </w:r>
    </w:p>
    <w:p>
      <w:pPr>
        <w:pStyle w:val="BodyText"/>
      </w:pPr>
      <w:r>
        <w:drawing>
          <wp:inline>
            <wp:extent cx="5334000" cy="797374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eb6/spu8lxigt3w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9737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92014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370/b49a54e85dacc52e8ea2bb897279e853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920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282965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cf5/img1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829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http://chertanovo-juzhnoe.mos.ru/social-sphere/blood-donation/detail/4531837.html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0" Target="media/rId20.jpg" /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social-sphere/blood-donation/detail/45318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social-sphere/blood-donation/detail/45318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2025-05-12T10:17:54Z</dcterms:created>
  <dcterms:modified xsi:type="dcterms:W3CDTF">2025-05-12T10:17:54Z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