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a893d0f3913e6722402cd2a946d836ee91756c"/>
    <w:p>
      <w:pPr>
        <w:pStyle w:val="Heading3"/>
      </w:pPr>
      <w:r>
        <w:t xml:space="preserve">Прокурор разъясняет законодательство в области развития добровольной пожарной охраны.</w:t>
      </w:r>
    </w:p>
    <w:p>
      <w:pPr>
        <w:pStyle w:val="FirstParagraph"/>
      </w:pPr>
      <w:r>
        <w:t xml:space="preserve">16.06.2025</w:t>
      </w:r>
    </w:p>
    <w:p>
      <w:pPr>
        <w:pStyle w:val="BodyText"/>
      </w:pPr>
      <w:r>
        <w:t xml:space="preserve">Федеральным законом от 23.05.2025 №119-ФЗ «О внесении изменений в Федеральный закон «О добровольческой пожарной охране» совершенствуется порядок профессионального обучения добровольных пожарных и работников добровольной пожарной охраны.</w:t>
      </w:r>
    </w:p>
    <w:p>
      <w:pPr>
        <w:pStyle w:val="BodyText"/>
      </w:pPr>
      <w:r>
        <w:t xml:space="preserve">Законом предусматривается обязанность не имеющих специального профессионального образования в области пожарной безопасности работников добровольной пожарной охраны и добровольных пожарных пройти подготовку по основным программам профессионального обучения и (или) дополнительным профессиональным программам в области пожарной безопасности, разрабатываемым и утверждаемым организациями, осуществляющими образовательную деятельность, в соответствии с типовыми программами профессионального обучения и (или) типовыми дополнительными профессиональными программами в области пожарной безопасности.</w:t>
      </w:r>
      <w:r>
        <w:br/>
      </w:r>
      <w:r>
        <w:t xml:space="preserve">Полномочия по разработке и утверждению таких типовых программ профессионального обучения и типовых дополнительных профессиональных программ в области пожарной безопасности закрепляются за МЧС России.</w:t>
      </w:r>
    </w:p>
    <w:p>
      <w:pPr>
        <w:pStyle w:val="BodyText"/>
      </w:pPr>
      <w:r>
        <w:t xml:space="preserve">Настоящий Федеральный закон вступает в силу с 1 марта 2026 года.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http://chertanovo-juzhnoe.mos.ru/safety-and-security/the-prosecutor-explains/detail/13030363.html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the-prosecutor-explains/detail/1303036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the-prosecutor-explains/detail/1303036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2025-06-16T23:40:06Z</dcterms:created>
  <dcterms:modified xsi:type="dcterms:W3CDTF">2025-06-16T23:40:06Z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