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30.06.2025"/>
    <w:p>
      <w:pPr>
        <w:pStyle w:val="Heading3"/>
      </w:pPr>
      <w:r>
        <w:t xml:space="preserve">Пресс релиз 30.06.2025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rPr>
          <w:bCs/>
          <w:b/>
        </w:rPr>
        <w:t xml:space="preserve">Свыше 16 тысяч выездов по сигналу «тревога» совершили столичные росгвардейцы в июне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порядка 3,5 тысяч проверок обеспечения сохранности оружия физических и юридических лиц. Составлено около 450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свыше 600 единиц оружия и боеприпасов.</w:t>
      </w:r>
    </w:p>
    <w:p>
      <w:pPr>
        <w:pStyle w:val="BodyText"/>
      </w:pPr>
      <w:r>
        <w:t xml:space="preserve">Подразделениями специального назначения выполнено около 100 задач по силовому сопровождению специальных мероприятий.</w:t>
      </w:r>
    </w:p>
    <w:p>
      <w:pPr>
        <w:pStyle w:val="BodyText"/>
      </w:pPr>
      <w:r>
        <w:t xml:space="preserve">Личным составом столичного главка Росгвардии была обеспечена безопасность свыше 850 массовых мероприятий за июнь.</w:t>
      </w:r>
    </w:p>
    <w:p>
      <w:pPr>
        <w:pStyle w:val="BodyText"/>
      </w:pPr>
      <w:r>
        <w:t xml:space="preserve">Гражданам и юридическим лицам оказано более 12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7 тысяч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http://chertanovo-juzhnoe.mos.ru/safety-and-security/rosgvardiya-rf/detail/13073737.html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73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73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2025-07-01T06:37:29Z</dcterms:created>
  <dcterms:modified xsi:type="dcterms:W3CDTF">2025-07-01T06:37:29Z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