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02.06.2025"/>
    <w:p>
      <w:pPr>
        <w:pStyle w:val="Heading3"/>
      </w:pPr>
      <w:r>
        <w:t xml:space="preserve">Пресс релиз 02.06.2025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rPr>
          <w:bCs/>
          <w:b/>
        </w:rPr>
        <w:t xml:space="preserve">Более 16 тысяч выездов по сигналу «тревога» совершили столичные росгвардейцы в мае</w:t>
      </w:r>
    </w:p>
    <w:p>
      <w:pPr>
        <w:pStyle w:val="BodyText"/>
      </w:pPr>
      <w:r>
        <w:t xml:space="preserve">Подразделениями специального назначения выполнено около 70 задач по силовому сопровождению специальных мероприятий.</w:t>
      </w:r>
    </w:p>
    <w:p>
      <w:pPr>
        <w:pStyle w:val="BodyText"/>
      </w:pPr>
      <w:r>
        <w:t xml:space="preserve">По подозрению в совершении преступлений и нарушении административного законодательства было задержано свыше 6 тысяч граждан.</w:t>
      </w:r>
    </w:p>
    <w:p>
      <w:pPr>
        <w:pStyle w:val="BodyText"/>
      </w:pPr>
      <w:r>
        <w:t xml:space="preserve">Сотрудниками и военнослужащими столичного главка Росгвардии была обеспечена безопасность более 1000 мероприятий.</w:t>
      </w:r>
    </w:p>
    <w:p>
      <w:pPr>
        <w:pStyle w:val="BodyText"/>
      </w:pPr>
      <w:r>
        <w:t xml:space="preserve">Сотрудниками подразделений лицензионно-разрешительной работы проведено порядка 3 тысяч проверок обеспечения сохранности оружия по месту жительства граждан и проверок юридических лиц.</w:t>
      </w:r>
    </w:p>
    <w:p>
      <w:pPr>
        <w:pStyle w:val="BodyText"/>
      </w:pPr>
      <w:r>
        <w:t xml:space="preserve">Из незаконного оборота изъято около 250 единиц оружия и свыше 500 боеприпасов.</w:t>
      </w:r>
    </w:p>
    <w:p>
      <w:pPr>
        <w:pStyle w:val="BodyText"/>
      </w:pPr>
      <w:r>
        <w:t xml:space="preserve">Составлено более 400 протоколов об административных правонарушениях.</w:t>
      </w:r>
    </w:p>
    <w:p>
      <w:pPr>
        <w:pStyle w:val="BodyText"/>
      </w:pPr>
      <w:r>
        <w:t xml:space="preserve">Гражданам и юридическим лицам за прошедший месяц оказано более 10 тысяч государственных услуг, касающихся оборота гражданского оружия и охранной деятельности.</w:t>
      </w:r>
    </w:p>
    <w:p>
      <w:pPr>
        <w:pStyle w:val="BodyText"/>
      </w:pPr>
      <w:r>
        <w:t xml:space="preserve">ИтогиВЦифрах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Росгвардия обеспечила безопасность спортивных мероприятий в Москве</w:t>
      </w:r>
    </w:p>
    <w:p>
      <w:pPr>
        <w:pStyle w:val="BodyText"/>
      </w:pPr>
      <w:r>
        <w:t xml:space="preserve">Во время проведения Дня футбола и матча Кубка России между клубами ЦСКА и «Ростов» общественный порядок обеспечивали 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Российской Федерации совместно с полицейскими.</w:t>
      </w:r>
    </w:p>
    <w:p>
      <w:pPr>
        <w:pStyle w:val="BodyText"/>
      </w:pPr>
      <w:r>
        <w:t xml:space="preserve">Заблаговременно места проведения мероприятий и прилегающие территории были тщательно обследованы инженерно-техническими группами ОМОН «Авангард». Спецназовцы осуществляли патрулирование по периметру «Лужников", контролируя соблюдение правопорядка.</w:t>
      </w:r>
    </w:p>
    <w:p>
      <w:pPr>
        <w:pStyle w:val="BodyText"/>
      </w:pPr>
      <w:r>
        <w:t xml:space="preserve">Экипажи групп задержания вневедомственной охраны патрулировали улицы вблизи площадок, где проходили массовые мероприятия, обеспечивая безопасность граждан. Сотрудники ОМОН «Меч» на транспорте контролировали порядок на станциях МЦК.</w:t>
      </w:r>
    </w:p>
    <w:p>
      <w:pPr>
        <w:pStyle w:val="BodyText"/>
      </w:pPr>
      <w:r>
        <w:t xml:space="preserve">Спортивный праздник и футбольный матч посетили более 67 тысяч человек, при этом серьезных нарушений общественного порядка допущено не было.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http://chertanovo-juzhnoe.mos.ru/safety-and-security/rosgvardiya-rf/detail/13006611.html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06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06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2025-06-20T19:13:39Z</dcterms:created>
  <dcterms:modified xsi:type="dcterms:W3CDTF">2025-06-20T19:13:39Z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