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7.12.2024"/>
    <w:p>
      <w:pPr>
        <w:pStyle w:val="Heading3"/>
      </w:pPr>
      <w:r>
        <w:t xml:space="preserve">Пресс релиз 27.12.2024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Столичный спецназ Росгвардии пресек канал незаконной миграции и деятельность сети притонов</w:t>
      </w:r>
    </w:p>
    <w:p>
      <w:pPr>
        <w:pStyle w:val="BodyText"/>
      </w:pPr>
      <w:r>
        <w:t xml:space="preserve">При силовой поддержке СОБР Росгвардии по г. Москве, сотрудники МВД провели масштабную операцию, в результате которой задержаны 9 подозреваемых в организации незаконной миграции и притонов для занятия проституцией.</w:t>
      </w:r>
    </w:p>
    <w:p>
      <w:pPr>
        <w:pStyle w:val="BodyText"/>
      </w:pPr>
      <w:r>
        <w:t xml:space="preserve">В рамках операции проведены 90 обысков на территории Юго-Восточного, Южного и Восточного округов Москвы. В ходе мероприятий было выявлено 70 притонов для оказания интимных услуг и 20 квартир, где проживали нелегальные мигранты. Изъяты денежные средства, банковские карты, мобильные телефоны и другие улики.</w:t>
      </w:r>
    </w:p>
    <w:p>
      <w:pPr>
        <w:pStyle w:val="BodyText"/>
      </w:pPr>
      <w:r>
        <w:t xml:space="preserve">Установлено, что ежемесячный криминальный доход организатора составлял более 5 миллионов рублей, а остальные участники получали вознаграждение в размере 80 тысяч рублей.</w:t>
      </w:r>
    </w:p>
    <w:p>
      <w:pPr>
        <w:pStyle w:val="BodyText"/>
      </w:pPr>
      <w:r>
        <w:t xml:space="preserve">Операция по задержанию проводилась в Москве, Чувашской Республике и Краснодарском крае. Оперативно-розыскные мероприятия и следственные действия продолжаются.</w:t>
      </w:r>
    </w:p>
    <w:p>
      <w:pPr>
        <w:pStyle w:val="BodyText"/>
      </w:pPr>
      <w:r>
        <w:rPr>
          <w:bCs/>
          <w:b/>
        </w:rPr>
        <w:t xml:space="preserve">Москвичи при содействии столичного главка Росгвардии передают оружие для нужд СВО</w:t>
      </w:r>
    </w:p>
    <w:p>
      <w:pPr>
        <w:pStyle w:val="BodyText"/>
      </w:pPr>
      <w:r>
        <w:t xml:space="preserve">В отделах лицензионно-разрешительной работы Главного управления Росгвардии по г. Москве ведется приём оружия и боеприпасов от граждан. Специалисты проводят проверку укомплектованности и технической исправности каждой единицы.</w:t>
      </w:r>
    </w:p>
    <w:p>
      <w:pPr>
        <w:pStyle w:val="BodyText"/>
      </w:pPr>
      <w:r>
        <w:t xml:space="preserve">Добровольно свой личный арсенал через отдел лицензионно-разрешительной работы сдал и Иван Булатов. «Ружьё мною приобретено 15 лет назад. Процедура сдачи оказалась простой и не заняла много времени. Это обстоятельство позволило мне оказать помощь военнослужащим, защищающим нашу Родину», — отметил житель столицы.</w:t>
      </w:r>
    </w:p>
    <w:p>
      <w:pPr>
        <w:pStyle w:val="BodyText"/>
      </w:pPr>
      <w:r>
        <w:t xml:space="preserve">За активную гражданскую позицию и оказание поддержки военнослужащим, выполняющим задачи в зоне проведения СВО, Иван Булатов был награждён благодарственным письмом.</w:t>
      </w:r>
    </w:p>
    <w:p>
      <w:pPr>
        <w:pStyle w:val="BodyText"/>
      </w:pPr>
      <w:r>
        <w:t xml:space="preserve">Стоит отметить, что Главным управлением Росгвардии по городу Москве было уже передано более 250 единиц охотничьего оружия и около 2 тысяч боеприпасов к нему.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2025-03-10T14:18:25Z</dcterms:created>
  <dcterms:modified xsi:type="dcterms:W3CDTF">2025-03-10T14:18:25Z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