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59f4596f1466c9366207e1b04c48353dd60e90"/>
    <w:p>
      <w:pPr>
        <w:pStyle w:val="Heading3"/>
      </w:pPr>
      <w:r>
        <w:t xml:space="preserve">Спецподразделения столичного главка Росгвардии подвели итоги полугодия</w:t>
      </w:r>
    </w:p>
    <w:p>
      <w:pPr>
        <w:pStyle w:val="FirstParagraph"/>
      </w:pPr>
      <w:r>
        <w:t xml:space="preserve">14.06.2024</w:t>
      </w:r>
    </w:p>
    <w:p>
      <w:pPr>
        <w:pStyle w:val="BodyText"/>
      </w:pPr>
      <w:r>
        <w:rPr>
          <w:iCs/>
          <w:i/>
        </w:rPr>
        <w:t xml:space="preserve">С начала этого года спецподразделениями ОМОН "Авангард", ОМОН "Меч" на транспорте, СОБР "Столица" и СОБР Главного управления Росгвардии по городу Москве выполнено порядка 900 задач по силовому сопровождению специальных мероприятий, в ходе которых было задержано более 3 тысяч человек.</w:t>
      </w:r>
    </w:p>
    <w:p>
      <w:pPr>
        <w:pStyle w:val="BodyText"/>
      </w:pPr>
      <w:r>
        <w:t xml:space="preserve">Из незаконного оборота изъято более 600 единиц оружия и боеприпасов, порядка 60 килограмм наркотических и психотропных веществ, денежных средств в размере почти 200 миллионов рублей.</w:t>
      </w:r>
    </w:p>
    <w:p>
      <w:pPr>
        <w:pStyle w:val="BodyText"/>
      </w:pPr>
      <w:r>
        <w:t xml:space="preserve">Инженерно-техническими отделениями ОМОН «Авангард» и ОМОН «Меч» на транспорте по выявлению и обезвреживанию взрывных устройств было выполнено более 400 задач.</w:t>
      </w:r>
    </w:p>
    <w:p>
      <w:pPr>
        <w:pStyle w:val="BodyText"/>
      </w:pPr>
      <w:r>
        <w:t xml:space="preserve">Кроме того, спецназовцы продолжают выполнять служебно-боевые задачи в Северо-Кавказском регионе и в зоне проведения специальной военной операции.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http://chertanovo-juzhnoe.mos.ru/safety-and-security/rosgvardiya-rf/detail/12421049.html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4210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4210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2025-05-14T22:32:24Z</dcterms:created>
  <dcterms:modified xsi:type="dcterms:W3CDTF">2025-05-14T22:32:24Z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