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информационные-памятки"/>
    <w:p>
      <w:pPr>
        <w:pStyle w:val="Heading3"/>
      </w:pPr>
      <w:r>
        <w:t xml:space="preserve">Информационные памятки!</w:t>
      </w:r>
    </w:p>
    <w:p>
      <w:pPr>
        <w:pStyle w:val="FirstParagraph"/>
      </w:pPr>
      <w:r>
        <w:t xml:space="preserve">29.05.2025</w:t>
      </w:r>
    </w:p>
    <w:p>
      <w:pPr>
        <w:pStyle w:val="BodyText"/>
      </w:pPr>
      <w:r>
        <w:drawing>
          <wp:inline>
            <wp:extent cx="5334000" cy="754484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Все%20плакаты-1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484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Все%20плакаты-2_page-000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484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Все%20плакаты-3page-0001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4842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Все%20плакаты-4_page-0001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http://chertanovo-juzhnoe.mos.ru/safety-and-security/memo-to-the-population/detail/12996774.html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safety-and-security/memo-to-the-population/detail/129967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safety-and-security/memo-to-the-population/detail/129967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2025-07-06T11:32:56Z</dcterms:created>
  <dcterms:modified xsi:type="dcterms:W3CDTF">2025-07-06T11:32:56Z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