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8be9385fe3a00528c02410ab7217b39ea9ac3e"/>
    <w:p>
      <w:pPr>
        <w:pStyle w:val="Heading3"/>
      </w:pPr>
      <w:r>
        <w:t xml:space="preserve">Проект межевания территории квартала, ограниченного: Россошанской улицей, Дорожной улицей, улицей Газопровод, внутриквартальным проездом, границей сквера, границами участков с кадастровыми номерами 77:05:0008005:86, 77:05:0008005:48, улицей Газопровод,</w:t>
      </w:r>
    </w:p>
    <w:p>
      <w:pPr>
        <w:pStyle w:val="FirstParagraph"/>
      </w:pPr>
      <w:r>
        <w:t xml:space="preserve">21.02.2020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http://chertanovo-juzhnoe.mos.ru/public-hearings-public-comment/materials-for-public-hearings-and-public-discussions/detail/8710739.html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ublic-hearings-public-comment/materials-for-public-hearings-and-public-discussions/detail/871073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ublic-hearings-public-comment/materials-for-public-hearings-and-public-discussions/detail/871073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2023-11-10T15:08:46Z</dcterms:created>
  <dcterms:modified xsi:type="dcterms:W3CDTF">2023-11-10T15:08:46Z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