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a08ebfdc383b5788e685b268a877953cfa2559"/>
    <w:p>
      <w:pPr>
        <w:pStyle w:val="Heading3"/>
      </w:pPr>
      <w:r>
        <w:t xml:space="preserve">Материалы проекта «Подключение к централизованной системе холодного водоснабжения объекта: «Жилой комплекс с подземной автостоянкой, школой, ДОУ и медицинским центром, расположенного по адресу: город Москва, Варшавское шоссе, вл. 170Е».</w:t>
      </w:r>
    </w:p>
    <w:p>
      <w:pPr>
        <w:pStyle w:val="FirstParagraph"/>
      </w:pPr>
      <w:r>
        <w:t xml:space="preserve">12.11.2019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http://chertanovo-juzhnoe.mos.ru/public-hearings-public-comment/materials-for-public-hearings-and-public-discussions/detail/8483656.html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ublic-hearings-public-comment/materials-for-public-hearings-and-public-discussions/detail/848365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ublic-hearings-public-comment/materials-for-public-hearings-and-public-discussions/detail/848365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2024-12-18T19:27:18Z</dcterms:created>
  <dcterms:modified xsi:type="dcterms:W3CDTF">2024-12-18T19:27:18Z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