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728884c76d41989267fdc86f64ac563fd88990"/>
    <w:p>
      <w:pPr>
        <w:pStyle w:val="Heading3"/>
      </w:pPr>
      <w:r>
        <w:t xml:space="preserve">Пояснительная записка к проекту внесения изменений в правила землепользования и застройки города Москвы.</w:t>
      </w:r>
    </w:p>
    <w:p>
      <w:pPr>
        <w:pStyle w:val="FirstParagraph"/>
      </w:pPr>
      <w:r>
        <w:t xml:space="preserve">12.10.2018</w:t>
      </w:r>
    </w:p>
    <w:p>
      <w:pPr>
        <w:pStyle w:val="BodyText"/>
      </w:pPr>
      <w:r>
        <w:t xml:space="preserve">Проектом внесения изменений в правила землепользования и застройки г. Москвы предусмотрены следующие изменения:</w:t>
      </w:r>
    </w:p>
    <w:p>
      <w:pPr>
        <w:pStyle w:val="BodyText"/>
      </w:pPr>
      <w:r>
        <w:t xml:space="preserve">Для территориальной зоны 2191251, расположенной по адресу: по адресу: г. Москва, ул. Газопровод, вл. 6-Б (кад. № 77:05:0008005:2)</w:t>
      </w:r>
      <w:r>
        <w:br/>
      </w:r>
      <w:r>
        <w:t xml:space="preserve">с основным видом разрешенного использования:</w:t>
      </w:r>
    </w:p>
    <w:p>
      <w:pPr>
        <w:pStyle w:val="BodyText"/>
      </w:pPr>
      <w:r>
        <w:t xml:space="preserve">    3.3.0 - 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 и предельными параметрами разрешенного строительства, реконструкции объектов капитального строительства:</w:t>
      </w:r>
    </w:p>
    <w:p>
      <w:pPr>
        <w:pStyle w:val="BodyText"/>
      </w:pPr>
      <w:r>
        <w:t xml:space="preserve">Предельная высота зданий, строений, сооружений – 12 м;</w:t>
      </w:r>
    </w:p>
    <w:p>
      <w:pPr>
        <w:pStyle w:val="BodyText"/>
      </w:pPr>
      <w:r>
        <w:t xml:space="preserve">Иные показатели:</w:t>
      </w:r>
    </w:p>
    <w:p>
      <w:pPr>
        <w:pStyle w:val="BodyText"/>
      </w:pPr>
      <w:r>
        <w:t xml:space="preserve">Максимальная общая площадь объекта (Суммарная поэтажная площадь объекта в габаритах наружных стен здания) (кв.м)</w:t>
      </w:r>
    </w:p>
    <w:p>
      <w:pPr>
        <w:pStyle w:val="BodyText"/>
      </w:pPr>
      <w:r>
        <w:t xml:space="preserve">1410,4 – общая площадь объекта</w:t>
      </w:r>
    </w:p>
    <w:p>
      <w:pPr>
        <w:pStyle w:val="BodyText"/>
      </w:pPr>
      <w:r>
        <w:t xml:space="preserve">1600 – суммарная поэтажная площадь объекта в габаритах наружных стен здания установить:</w:t>
      </w:r>
    </w:p>
    <w:p>
      <w:pPr>
        <w:pStyle w:val="BodyText"/>
      </w:pPr>
      <w:r>
        <w:t xml:space="preserve">- основной вид разрешенного использования - Промышленно-производственная деятельность. Размещение объектов капитального строительства в целях добычи недр, их переработки, изготовления вещей промышленным способом. Содержание данного вида разрешенного использования включает в себя содержание видов разрешенного использования с кодами 6.2.0-6.8.0,6.11.0 (6.0.0)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http://chertanovo-juzhnoe.mos.ru/public-hearings-public-comment/materials-for-public-hearings-and-public-discussions/detail/7630056.html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76300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hearings-public-comment/materials-for-public-hearings-and-public-discussions/detail/76300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2025-07-12T12:07:38Z</dcterms:created>
  <dcterms:modified xsi:type="dcterms:W3CDTF">2025-07-12T12:07:38Z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