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163258729bb17d39334c76591d61d7d03e2efd"/>
    <w:p>
      <w:pPr>
        <w:pStyle w:val="Heading3"/>
      </w:pPr>
      <w:r>
        <w:t xml:space="preserve">Почему электронные общественные обсуждения набирают популярность?</w:t>
      </w:r>
    </w:p>
    <w:p>
      <w:pPr>
        <w:pStyle w:val="FirstParagraph"/>
      </w:pPr>
      <w:r>
        <w:t xml:space="preserve">25.11.2020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http://chertanovo-juzhnoe.mos.ru/public-hearings-public-comment/elektronnoe-obshchestvennoe-obsuzhdeni/detail/9460566.html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ublic-hearings-public-comment/elektronnoe-obshchestvennoe-obsuzhdeni/detail/94605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ublic-hearings-public-comment/elektronnoe-obshchestvennoe-obsuzhdeni/detail/94605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2023-10-07T15:32:39Z</dcterms:created>
  <dcterms:modified xsi:type="dcterms:W3CDTF">2023-10-07T15:32:39Z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