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521a74027e2a9cfbf56c185d596c2d0c86ac36"/>
    <w:p>
      <w:pPr>
        <w:pStyle w:val="Heading3"/>
      </w:pPr>
      <w:r>
        <w:t xml:space="preserve">Как принять участие в электронных общественных обсуждениях по градостроительным проектам</w:t>
      </w:r>
    </w:p>
    <w:p>
      <w:pPr>
        <w:pStyle w:val="FirstParagraph"/>
      </w:pPr>
      <w:r>
        <w:t xml:space="preserve">24.09.2020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http://chertanovo-juzhnoe.mos.ru/public-hearings-public-comment/elektronnoe-obshchestvennoe-obsuzhdeni/detail/9267841.html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ublic-hearings-public-comment/elektronnoe-obshchestvennoe-obsuzhdeni/detail/92678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ublic-hearings-public-comment/elektronnoe-obshchestvennoe-obsuzhdeni/detail/92678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2024-05-05T18:28:07Z</dcterms:created>
  <dcterms:modified xsi:type="dcterms:W3CDTF">2024-05-05T18:28:07Z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