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a45cf637b892d6916accbc346b05c583a15a0"/>
    <w:p>
      <w:pPr>
        <w:pStyle w:val="Heading3"/>
      </w:pPr>
      <w:r>
        <w:t xml:space="preserve">Стартовали опросы на портале Активный гражданин по району Чертаново Южное</w:t>
      </w:r>
    </w:p>
    <w:p>
      <w:pPr>
        <w:pStyle w:val="FirstParagraph"/>
      </w:pPr>
      <w:r>
        <w:t xml:space="preserve">03.02.2017</w:t>
      </w:r>
    </w:p>
    <w:p>
      <w:pPr>
        <w:pStyle w:val="BodyText"/>
      </w:pPr>
      <w:r>
        <w:t xml:space="preserve">Уже этой весной в столице начнутся работы в рамках большой программы благоустройства дворовых территорий. Работы пройдут на средства, полученные, в том числе, от платных парковок. У вас снова есть уникальная возможность принять участие в формировании программы благоустройства и самостоятельно определить объем работ в своем районе. В районе Чертаново Южное планируется благоустроить несколько детских и одну спортивную площадку.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http://chertanovo-juzhnoe.mos.ru/presscenter/officially/detail/4847883.html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847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847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2025-05-19T15:49:41Z</dcterms:created>
  <dcterms:modified xsi:type="dcterms:W3CDTF">2025-05-19T15:49:41Z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