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ктивный-гражданин-в-районах-москвы"/>
    <w:p>
      <w:pPr>
        <w:pStyle w:val="Heading3"/>
      </w:pPr>
      <w:r>
        <w:t xml:space="preserve">Активный гражданин в районах Москвы</w:t>
      </w:r>
    </w:p>
    <w:p>
      <w:pPr>
        <w:pStyle w:val="FirstParagraph"/>
      </w:pPr>
      <w:r>
        <w:t xml:space="preserve">16.09.2015</w:t>
      </w:r>
    </w:p>
    <w:p>
      <w:pPr>
        <w:pStyle w:val="BodyText"/>
      </w:pPr>
      <w:r>
        <w:t xml:space="preserve">95% участников проекта «Активный гражданин» из поселения Вороновское поддержали благоустройство пешеходной дорожки. Она соединяет два поселка — дом отдыха «Вороново» и ЛМС. Лишь 3% участников голосования высказались против. Пешеходная тропинка между поселками проходит через поле и выложена из бетонных плит, а это неудобно для пешеходов, особенно мам с колясками.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http://chertanovo-juzhnoe.mos.ru/presscenter/officially/detail/2157995.html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157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157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2023-10-06T22:00:24Z</dcterms:created>
  <dcterms:modified xsi:type="dcterms:W3CDTF">2023-10-06T22:00:24Z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