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курор-проводит-личный-прием-граждан"/>
    <w:p>
      <w:pPr>
        <w:pStyle w:val="Heading3"/>
      </w:pPr>
      <w:r>
        <w:t xml:space="preserve">Прокурор проводит личный прием граждан</w:t>
      </w:r>
    </w:p>
    <w:p>
      <w:pPr>
        <w:pStyle w:val="FirstParagraph"/>
      </w:pPr>
      <w:r>
        <w:t xml:space="preserve">23.06.2015</w:t>
      </w:r>
    </w:p>
    <w:p>
      <w:pPr>
        <w:pStyle w:val="BodyText"/>
      </w:pPr>
      <w:r>
        <w:t xml:space="preserve">Межрайонный прокурор проводит личный прием граждан в прокуратуре города Москвы 26.08.2015 с 14 час. 00 мин. по 18 час. 00 мин. по адресу:</w:t>
      </w:r>
    </w:p>
    <w:p>
      <w:pPr>
        <w:pStyle w:val="BodyText"/>
      </w:pPr>
      <w:r>
        <w:t xml:space="preserve">г. Москва, пл. Крестьяской Заставы, д. 1, каб. 103.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http://chertanovo-juzhnoe.mos.ru/presscenter/officially/detail/1955441.html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9554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9554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2024-07-23T08:12:08Z</dcterms:created>
  <dcterms:modified xsi:type="dcterms:W3CDTF">2024-07-23T08:12:08Z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