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виды-ответственности-оплата-труда"/>
    <w:p>
      <w:pPr>
        <w:pStyle w:val="Heading3"/>
      </w:pPr>
      <w:r>
        <w:t xml:space="preserve">Виды ответственности оплата труда</w:t>
      </w:r>
    </w:p>
    <w:p>
      <w:pPr>
        <w:pStyle w:val="FirstParagraph"/>
      </w:pPr>
      <w:r>
        <w:t xml:space="preserve">11.12.2023</w:t>
      </w:r>
    </w:p>
    <w:p>
      <w:pPr>
        <w:pStyle w:val="BodyText"/>
      </w:pPr>
      <w:r>
        <w:drawing>
          <wp:inline>
            <wp:extent cx="5334000" cy="372362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ed/lq713pthdi4xs24icvo5slof7i0nfxm3/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36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630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ba/0emggscof9a4rsttiuqwdkmadljxf2n1/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http://chertanovo-juzhnoe.mos.ru/presscenter/officially/detail/12036605.html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20366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20366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2023-12-11T07:51:35Z</dcterms:created>
  <dcterms:modified xsi:type="dcterms:W3CDTF">2023-12-11T07:51:35Z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