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7f5416e5d47e25aaa91ad7aa8d5d61dcf1637c"/>
    <w:p>
      <w:pPr>
        <w:pStyle w:val="Heading3"/>
      </w:pPr>
      <w:r>
        <w:t xml:space="preserve">Что такое налоговое уведомление и как его исполнить</w:t>
      </w:r>
    </w:p>
    <w:p>
      <w:pPr>
        <w:pStyle w:val="FirstParagraph"/>
      </w:pPr>
      <w:r>
        <w:t xml:space="preserve">14.10.2022</w:t>
      </w:r>
    </w:p>
    <w:p>
      <w:pPr>
        <w:pStyle w:val="BodyText"/>
      </w:pPr>
      <w:r>
        <w:drawing>
          <wp:inline>
            <wp:extent cx="5334000" cy="755465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ae0/6mqh7xeuf4kqfz24582jo1cia19fbhfe/photo_2022_10_14_11_11_28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546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http://chertanovo-juzhnoe.mos.ru/presscenter/officially/detail/11114180.html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1111418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presscenter/officially/detail/1111418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2025-05-24T08:28:46Z</dcterms:created>
  <dcterms:modified xsi:type="dcterms:W3CDTF">2025-05-24T08:28:46Z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