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гбу-мосстройинформ-информирует"/>
    <w:p>
      <w:pPr>
        <w:pStyle w:val="Heading3"/>
      </w:pPr>
      <w:r>
        <w:t xml:space="preserve">ГБУ "Мосстройинформ" информирует</w:t>
      </w:r>
    </w:p>
    <w:p>
      <w:pPr>
        <w:pStyle w:val="FirstParagraph"/>
      </w:pPr>
      <w:r>
        <w:t xml:space="preserve">23.08.2022</w:t>
      </w:r>
    </w:p>
    <w:p>
      <w:pPr>
        <w:pStyle w:val="BodyText"/>
      </w:pPr>
      <w:r>
        <w:t xml:space="preserve">На сайте СтроимПросто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https://stroimprosto-msk.ru/virtualnye-tury/</w:t>
        </w:r>
      </w:hyperlink>
      <w:r>
        <w:t xml:space="preserve"> </w:t>
      </w:r>
      <w:r>
        <w:t xml:space="preserve">представлен VR-тур разработанный специалистами ГБУ «Мосстроинформ», где любой желающий может прогуляться по обновленным кварталам и познакомиться с новыми домами по программе реновации.</w:t>
      </w:r>
      <w:r>
        <w:br/>
      </w:r>
    </w:p>
    <w:p>
      <w:pPr>
        <w:pStyle w:val="BodyText"/>
      </w:pPr>
      <w:r>
        <w:t xml:space="preserve">На данный момент доступны семь виртуальных туров по кварталам 124, 125 и 126 района Фили-Давыдково, кварталу 79 Нижегородского района, двум кварталам - 798 и 800 - Пресненского района и квартал 19б Богородского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http://chertanovo-juzhnoe.mos.ru/presscenter/news/detail/11008447.html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1008447.html" TargetMode="External" /><Relationship Type="http://schemas.openxmlformats.org/officeDocument/2006/relationships/hyperlink" Id="rId20" Target="https://stroimprosto-msk.ru/virtualnye-tu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1008447.html" TargetMode="External" /><Relationship Type="http://schemas.openxmlformats.org/officeDocument/2006/relationships/hyperlink" Id="rId20" Target="https://stroimprosto-msk.ru/virtualnye-tu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2025-05-25T01:39:41Z</dcterms:created>
  <dcterms:modified xsi:type="dcterms:W3CDTF">2025-05-25T01:39:41Z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