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eaf4f1e3ff4f31e71eb601c37d4502e4fea70d"/>
    <w:p>
      <w:pPr>
        <w:pStyle w:val="Heading3"/>
      </w:pPr>
      <w:r>
        <w:t xml:space="preserve">Подошел к концу районный этап «Парламентского квеста»</w:t>
      </w:r>
    </w:p>
    <w:p>
      <w:pPr>
        <w:pStyle w:val="FirstParagraph"/>
      </w:pPr>
      <w:r>
        <w:t xml:space="preserve">14.12.2015</w:t>
      </w:r>
    </w:p>
    <w:p>
      <w:pPr>
        <w:pStyle w:val="BodyText"/>
      </w:pPr>
      <w:r>
        <w:drawing>
          <wp:inline>
            <wp:extent cx="1840992" cy="80162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35/ycj6gaca_o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0992" cy="801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Подошел к концу районный этап «Парламентского квеста». Все задания проверены, баллы подсчитаны, и по итогам районного этапа в городской этап квеста прошли 49 команд.Б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подробную информацию вы можете узнать пройдя по ссылке: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http://chertanovo-juzhnoe.mos.ru/organization-of-leisure-social-educational-health-improving-and-sports-work-with-the-population-at-t/junior-chamber/detail/2371300.html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junior-chamber/detail/23713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organization-of-leisure-social-educational-health-improving-and-sports-work-with-the-population-at-t/junior-chamber/detail/23713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2025-04-10T02:12:31Z</dcterms:created>
  <dcterms:modified xsi:type="dcterms:W3CDTF">2025-04-10T02:12:31Z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