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341401163af3256d12ec818b3a8f53086fbde5"/>
    <w:p>
      <w:pPr>
        <w:pStyle w:val="Heading3"/>
      </w:pPr>
      <w:r>
        <w:t xml:space="preserve">Протокол заседания Конкурсной комиссии № 2 от 06.06.2019</w:t>
      </w:r>
    </w:p>
    <w:p>
      <w:pPr>
        <w:pStyle w:val="FirstParagraph"/>
      </w:pPr>
      <w:r>
        <w:t xml:space="preserve">07.06.2019</w:t>
      </w:r>
    </w:p>
    <w:p>
      <w:pPr>
        <w:pStyle w:val="BodyText"/>
      </w:pPr>
      <w:r>
        <w:drawing>
          <wp:inline>
            <wp:extent cx="5334000" cy="757561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194/protokol-2-ot-06.06.201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756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http://chertanovo-juzhnoe.mos.ru/organization-of-leisure-social-educational-health-improving-and-sports-work-with-the-population-at-t/detail/8138713.html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detail/81387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detail/81387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2024-12-12T00:35:26Z</dcterms:created>
  <dcterms:modified xsi:type="dcterms:W3CDTF">2024-12-12T00:35:26Z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