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6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bd939292b698d1dfd44c60711bc90657ffc1d37"/>
    <w:p>
      <w:pPr>
        <w:pStyle w:val="Heading3"/>
      </w:pPr>
      <w:r>
        <w:t xml:space="preserve">Протокол заседания Конкурсной комиссии № 1 от 09.10.2018</w:t>
      </w:r>
    </w:p>
    <w:p>
      <w:pPr>
        <w:pStyle w:val="FirstParagraph"/>
      </w:pPr>
      <w:r>
        <w:t xml:space="preserve">10.10.2018</w:t>
      </w:r>
    </w:p>
    <w:p>
      <w:pPr>
        <w:pStyle w:val="BodyText"/>
      </w:pPr>
      <w:r>
        <w:drawing>
          <wp:inline>
            <wp:extent cx="5334000" cy="75756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42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5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8613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e1/8f8/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8613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71/image_0001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http://chertanovo-juzhnoe.mos.ru/organization-of-leisure-social-educational-health-improving-and-sports-work-with-the-population-at-t/detail/7624634.html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detail/76246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detail/76246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2023-06-20T22:55:54Z</dcterms:created>
  <dcterms:modified xsi:type="dcterms:W3CDTF">2023-06-20T22:55:54Z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