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0cf8e153da8469e2349e6d37b1ffd5c780c52"/>
    <w:p>
      <w:pPr>
        <w:pStyle w:val="Heading3"/>
      </w:pPr>
      <w:r>
        <w:t xml:space="preserve">С 17.04.2017 по 26.04.2017 была проведена Межведомственная комплексная оперативно-профилактическая операция «Дети России - 2017»</w:t>
      </w:r>
    </w:p>
    <w:p>
      <w:pPr>
        <w:pStyle w:val="FirstParagraph"/>
      </w:pPr>
      <w:r>
        <w:t xml:space="preserve">02.05.2017</w:t>
      </w:r>
    </w:p>
    <w:p>
      <w:pPr>
        <w:pStyle w:val="BodyText"/>
      </w:pPr>
      <w:r>
        <w:t xml:space="preserve">С 17.04.2017 по 26.04.2017 была проведена Межведомственная комплексная оперативно-профилактическая операция «Дети России - 2017».</w:t>
      </w:r>
    </w:p>
    <w:p>
      <w:pPr>
        <w:pStyle w:val="BodyText"/>
      </w:pPr>
      <w:r>
        <w:t xml:space="preserve">Деятельность участников операции была направлена на:</w:t>
      </w:r>
    </w:p>
    <w:p>
      <w:pPr>
        <w:pStyle w:val="BodyText"/>
      </w:pPr>
      <w:r>
        <w:t xml:space="preserve">- проверку мест массового пребывания несовершеннолетних, отработка жилого сектора, досуговых и торговых учреждений с целью выявления несовершеннолетних, находящихся в состоянии наркотического опьянения.</w:t>
      </w:r>
    </w:p>
    <w:p>
      <w:pPr>
        <w:pStyle w:val="BodyText"/>
      </w:pPr>
      <w:r>
        <w:t xml:space="preserve">- выявление безнадзорных и беспризорных несовершеннолетних, а также несовершеннолетних, совершивших правонарушения, родителей, не выполняющих обязанности по содержанию, воспитанию и обучению своих детей, и применение к ним мер, предусмотренных уголовным и административным законодательством Российской Федерации;</w:t>
      </w:r>
    </w:p>
    <w:p>
      <w:pPr>
        <w:pStyle w:val="BodyText"/>
      </w:pPr>
      <w:r>
        <w:t xml:space="preserve">- выявление взрослых лиц, в т.ч. родителей, вовлекающих в противоправную деятельность, а также негативно влияющих на подростков, провоцирующих на совершение правонарушений и иных антиобщественных действий, привлечение их к ответственности, допускающих жестокое обращение с ними;</w:t>
      </w:r>
    </w:p>
    <w:p>
      <w:pPr>
        <w:pStyle w:val="BodyText"/>
      </w:pPr>
      <w:r>
        <w:t xml:space="preserve">- проведение проверок по месту жительства несовершеннолетних, состоящих на учете в органах внутренних дел с целью установления их причастности к ранее совершенным преступлениям, профилактики совершения ими правонарушений, проверки соблюдения установленных ограничений;</w:t>
      </w:r>
    </w:p>
    <w:p>
      <w:pPr>
        <w:pStyle w:val="BodyText"/>
      </w:pPr>
      <w:r>
        <w:t xml:space="preserve">- проведение проверок мест массового досуга молодежи, в т.ч. в ночное время, с целью выявления фактов нахождения несовершеннолетних без сопровождения родителей на объектах, предназначенных для реализации услуг в сфере общественного питания, развлечения, досуга, где предусмотрена розничная продажа и распитие спиртосодержащих напитков, а также продажи несовершеннолетним пива, спиртных напитков и табачных изделий.</w:t>
      </w:r>
    </w:p>
    <w:p>
      <w:pPr>
        <w:pStyle w:val="BodyText"/>
      </w:pPr>
      <w:r>
        <w:t xml:space="preserve">В ходе операции приняли участие 42 сотрудника ОМВД России по району Чертаново Южное, 1 КДН и ЗП, 3 сотрудника ООПиП, , по 1 ДГП и ТЦСО, 17 сотрудников образовательных учреждений, 2 ГБУ СДЦ, 2 ОПОП, 4 ДНД.</w:t>
      </w:r>
    </w:p>
    <w:p>
      <w:pPr>
        <w:pStyle w:val="BodyText"/>
      </w:pPr>
      <w:r>
        <w:t xml:space="preserve">Несовершеннолетние и родители, употребляющие наркотические средства и психо-активные вещества на учете в КДН и ЗП и ОДН ОМВД по состоянию на 26.04.2017 года отсутствуют. В рамках мероприятия проверены семьи, где несовершеннолетние состоят на учете по основанию употребление спиртных напитков и потребление табачных изделий (12), родители - употребление спиртных напитков и ненадлежащее исполнение родительских обязанностей (7).</w:t>
      </w:r>
    </w:p>
    <w:p>
      <w:pPr>
        <w:pStyle w:val="BodyText"/>
      </w:pPr>
      <w:r>
        <w:t xml:space="preserve">В ходе мероприятия в ОМВД было доставлено 5 несовершеннолетних. Привлечено к административной ответственности: по ч. 1 ст. 5.35 КРФоАП – 10, ч.2 ст. 6.23 КРФоАП – 2, ч.1 ст. 6.24 КРФоАП – 1. Все материалы направлены в КДН и ЗП, 1 материал по ч. 1 ст. 6.1.1 КРФоАП в суд (в отношении родителя, нанесшего телесные повреждения сыну). Несовершеннолетних, находящихся в состоянии наркотического опьянения, а также совершивших правонарушение, связанное с незаконным хранением (распространением) наркотических средств, психотропных веществ, выявлено не было.</w:t>
      </w:r>
    </w:p>
    <w:p>
      <w:pPr>
        <w:pStyle w:val="BodyText"/>
      </w:pPr>
      <w:r>
        <w:t xml:space="preserve">Проверены станции МЖД Курского направления Покровская, Красный строитель и прилегающая к ним территория. Несовершеннолетних, находящихся в состоянии наркотического опьянения, а также совершивших правонарушение, связанное с незаконным хранением (распространением) наркотических средств, психотропных веществ, выявлено не было.</w:t>
      </w:r>
    </w:p>
    <w:p>
      <w:pPr>
        <w:pStyle w:val="BodyText"/>
      </w:pPr>
      <w:r>
        <w:t xml:space="preserve">Проверены места массового пребывания граждан, в ом числе и несовершеннолетних, проверено 17 торговых предприятий, где осуществляется продажа алкогольной и спиртосодержащей продукции:</w:t>
      </w:r>
    </w:p>
    <w:p>
      <w:pPr>
        <w:pStyle w:val="BodyText"/>
      </w:pPr>
      <w:r>
        <w:t xml:space="preserve">Торгово-развлекательный центр «Сомбреро», Варшавское ш., д. 152а,</w:t>
      </w:r>
    </w:p>
    <w:p>
      <w:pPr>
        <w:pStyle w:val="BodyText"/>
      </w:pPr>
      <w:r>
        <w:t xml:space="preserve">Торгово-развлекательный центр «Атлантис», Варшавское ш., д. 160,</w:t>
      </w:r>
    </w:p>
    <w:p>
      <w:pPr>
        <w:pStyle w:val="BodyText"/>
      </w:pPr>
      <w:r>
        <w:t xml:space="preserve">Торговый центр «Миримис», Варшавское ш., д. 135б,</w:t>
      </w:r>
    </w:p>
    <w:p>
      <w:pPr>
        <w:pStyle w:val="BodyText"/>
      </w:pPr>
      <w:r>
        <w:t xml:space="preserve">Торговый центр «Прага», Россошанский проезд, д. 3</w:t>
      </w:r>
    </w:p>
    <w:p>
      <w:pPr>
        <w:pStyle w:val="BodyText"/>
      </w:pPr>
      <w:r>
        <w:t xml:space="preserve">Торговый центр «Юлмарт», Варшавское ш., д. 143а,</w:t>
      </w:r>
    </w:p>
    <w:p>
      <w:pPr>
        <w:pStyle w:val="BodyText"/>
      </w:pPr>
      <w:r>
        <w:t xml:space="preserve">Кафе «Сережик», Россошанский проезд, д.2а,</w:t>
      </w:r>
    </w:p>
    <w:p>
      <w:pPr>
        <w:pStyle w:val="BodyText"/>
      </w:pPr>
      <w:r>
        <w:t xml:space="preserve">Кафе «Шоколадница», Варшавское ш., д. 160,</w:t>
      </w:r>
    </w:p>
    <w:p>
      <w:pPr>
        <w:pStyle w:val="BodyText"/>
      </w:pPr>
      <w:r>
        <w:t xml:space="preserve">Ресторан «Огни Баку», Варшавское ш., д. 152-2</w:t>
      </w:r>
    </w:p>
    <w:p>
      <w:pPr>
        <w:pStyle w:val="BodyText"/>
      </w:pPr>
      <w:r>
        <w:t xml:space="preserve">Ресторан «KFC» Варшавское ш., д. 160, Варшавское ш., д. 152а,</w:t>
      </w:r>
    </w:p>
    <w:p>
      <w:pPr>
        <w:pStyle w:val="BodyText"/>
      </w:pPr>
      <w:r>
        <w:t xml:space="preserve">Магазины торговой сети «Дикси», ул. Подольских курсантов, д. 2-1, ул. Академика Янгеля, д. 6, ул. Чертановская, д. 56,</w:t>
      </w:r>
    </w:p>
    <w:p>
      <w:pPr>
        <w:pStyle w:val="BodyText"/>
      </w:pPr>
      <w:r>
        <w:t xml:space="preserve">Магазины торговой сети «Пятерочка», ул. Чертановская, д. 66-3, ул. Чертановская, д. 66-4, ул. Чертановская, д.47-1, ул. Газопровод, д.6, Варшавское ш., д. 131-5</w:t>
      </w:r>
    </w:p>
    <w:p>
      <w:pPr>
        <w:pStyle w:val="BodyText"/>
      </w:pPr>
      <w:r>
        <w:t xml:space="preserve">Фактов продажи спиртных и алкогольных напитков несовершеннолетним в ходе проведения операции Дети России не выявлено.</w:t>
      </w:r>
    </w:p>
    <w:p>
      <w:pPr>
        <w:pStyle w:val="BodyText"/>
      </w:pPr>
      <w:r>
        <w:t xml:space="preserve">Проведены мероприятия в учреждениях профилактики безнадзорности и правонарушений несовершеннолетних района:</w:t>
      </w:r>
    </w:p>
    <w:p>
      <w:pPr>
        <w:pStyle w:val="BodyText"/>
      </w:pPr>
      <w:r>
        <w:t xml:space="preserve">Консультации и беседы с родителями: Чтобы ребенок е ушел из дома (лицей №504), Меры борьбы с наркозависимостью (гимназия 1526), Ответственность родителей за противоправное поведение несовершеннолетних, нахождение их без сопровождения родителей в ночное время на улицах города и в местах досуга (школы 657, 932, 1245, ГБПОУ СПК, ММТ им. Л.Б. Красина).</w:t>
      </w:r>
    </w:p>
    <w:p>
      <w:pPr>
        <w:pStyle w:val="BodyText"/>
      </w:pPr>
      <w:r>
        <w:t xml:space="preserve">Классные часы: «Опасность употребления алкоголя, наркотических и ПАВ несовершеннолетними» (школа №932, №1245, лицей №504), «Имя беды – наркомания» (гимназия №1526), «Подросток и закон, мои права и обязанности» (школа №629, 2113), просмотр тематических видеороликов «Цепочка выборов», «Скажи «НЕТ» наркотикам» (гимназия №1526), «Неформальные молодёжные объединения», «Скрытая опасность неформальных объединений» (школа №1245),</w:t>
      </w:r>
    </w:p>
    <w:p>
      <w:pPr>
        <w:pStyle w:val="BodyText"/>
      </w:pPr>
      <w:r>
        <w:t xml:space="preserve">Тренинги для студентов, состоящих на ВКК в СПК и ММТ им. Красина</w:t>
      </w:r>
    </w:p>
    <w:p>
      <w:pPr>
        <w:pStyle w:val="BodyText"/>
      </w:pPr>
      <w:r>
        <w:t xml:space="preserve">Круглый стол «Закон и правопорядок» (школа №629)</w:t>
      </w:r>
    </w:p>
    <w:p>
      <w:pPr>
        <w:pStyle w:val="BodyText"/>
      </w:pPr>
      <w:r>
        <w:t xml:space="preserve">Конференция «Зеленая школа» (школа №932)</w:t>
      </w:r>
    </w:p>
    <w:p>
      <w:pPr>
        <w:pStyle w:val="BodyText"/>
      </w:pPr>
      <w:r>
        <w:t xml:space="preserve">Участие в Днях открытых дверей «Сто дорог – одна твоя» в ГБПОУ Киноколледж №40» (школа №629, 924, ГБПОУ ПК №33 (школа №657, школа №2113), ГБПОУ МГКЭиТ (школа №2113), ГБПОУ «ОК Столица» (школа №1245)</w:t>
      </w:r>
    </w:p>
    <w:p>
      <w:pPr>
        <w:pStyle w:val="BodyText"/>
      </w:pPr>
      <w:r>
        <w:t xml:space="preserve">Участие в Кубке «Воробьевы горы» (школа №924), в экологической акции «Живые уроки» музее-усадьбе Архангельское (школа №2113)</w:t>
      </w:r>
    </w:p>
    <w:p>
      <w:pPr>
        <w:pStyle w:val="BodyText"/>
      </w:pPr>
      <w:r>
        <w:t xml:space="preserve">Актив школьного музея Боевой Славы школы №2113 организовали субботник по уборке ЖБОТа в Покровском парке.</w:t>
      </w:r>
    </w:p>
    <w:p>
      <w:pPr>
        <w:pStyle w:val="BodyText"/>
      </w:pPr>
      <w:r>
        <w:t xml:space="preserve">Участие в городском соревновании по фитнес–аэробике (школа №2113 2 место)</w:t>
      </w:r>
    </w:p>
    <w:p>
      <w:pPr>
        <w:pStyle w:val="BodyText"/>
      </w:pPr>
      <w:r>
        <w:t xml:space="preserve">Учащиеся техникума им. Л.Б. Красина заняли два первых и одно второе место на научно-практической конференции «Современный студенческий потенциал: идеи, гипотезы, проекты». Победили студенты, представившие исследования в области разработки социальной плакатов и рекламных концепций.</w:t>
      </w:r>
    </w:p>
    <w:p>
      <w:pPr>
        <w:pStyle w:val="BodyText"/>
      </w:pPr>
      <w:r>
        <w:t xml:space="preserve">Общешкольная утренняя зарядка на свежем воздухе 21.04.2017 школа №1245</w:t>
      </w:r>
    </w:p>
    <w:p>
      <w:pPr>
        <w:pStyle w:val="BodyText"/>
      </w:pPr>
      <w:r>
        <w:t xml:space="preserve">В СПК организован просмотр спектакля «Вишневый сад» Московского молодежного театра под руководством В.Спесивцева</w:t>
      </w:r>
    </w:p>
    <w:p>
      <w:pPr>
        <w:pStyle w:val="BodyText"/>
      </w:pPr>
      <w:r>
        <w:t xml:space="preserve">19.04.2017 ГБУ СДЦ и Совет депутатов района провели военно-патриотическую игру «Зарница», 25.04.2017 ГБУ СДЦ – турнир по мини-футболу среди несовершеннолетних района</w:t>
      </w:r>
    </w:p>
    <w:p>
      <w:pPr>
        <w:pStyle w:val="BodyText"/>
      </w:pPr>
      <w:r>
        <w:t xml:space="preserve">На заседании комиссии 25.04.2017 на учет поставлено 7 несовершеннолетних (1 совершение ООД, 2 совершение правонарушений, до достижения возраста административной ответственности, 4 за совершение правонарушений, повлекших применение мер административного наказания), 2 семьи, находящихся в социально-опасном положении.</w:t>
      </w:r>
    </w:p>
    <w:p>
      <w:pPr>
        <w:pStyle w:val="BodyText"/>
      </w:pPr>
      <w:r>
        <w:t xml:space="preserve">Наряды, патрулирующие территорию района Чертаново Южное г. Москвы, задействованные в системе единой дислокации были нацелены на выявление несовершеннолетних, совершающих различные преступления и правонарушения, а тек же безнадзорных несовершеннолетних оставшихся без попечения родителей. Сотрудники УУП дополнительно были нацелены на выявление мест проживания иностранных граждан и лиц без гражданства с целью выявления несовершеннолетних, не имеющих документов и не посещающих образовательное учреждение. Сотрудники ОУР были нацелены на выявление притонов, используемых в целях незаконного потребления наркотиков несовершеннолетним, либо родителям, имеющим несовершеннолетних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http://chertanovo-juzhnoe.mos.ru/organization-of-leisure-social-educational-health-improving-and-sports-work-with-the-population-at-t/detail/5807962.html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58079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58079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2025-02-27T10:21:50Z</dcterms:created>
  <dcterms:modified xsi:type="dcterms:W3CDTF">2025-02-27T10:21:50Z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