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bfc3fa0e7622c0c7b4f6a79584008b70f7561"/>
    <w:p>
      <w:pPr>
        <w:pStyle w:val="Heading3"/>
      </w:pPr>
      <w:r>
        <w:t xml:space="preserve">На реализацию мероприятий по благоустройству и содержанию территорий районов Москвы выделено около 1,3 млрд руб.</w:t>
      </w:r>
    </w:p>
    <w:p>
      <w:pPr>
        <w:pStyle w:val="FirstParagraph"/>
      </w:pPr>
      <w:r>
        <w:t xml:space="preserve">12.02.2014</w:t>
      </w:r>
    </w:p>
    <w:p>
      <w:pPr>
        <w:pStyle w:val="BodyText"/>
      </w:pPr>
      <w:r>
        <w:rPr>
          <w:iCs/>
          <w:i/>
        </w:rPr>
        <w:t xml:space="preserve">  </w:t>
      </w:r>
    </w:p>
    <w:p>
      <w:pPr>
        <w:pStyle w:val="BodyText"/>
      </w:pPr>
      <w:r>
        <w:rPr>
          <w:bCs/>
          <w:b/>
        </w:rPr>
        <w:t xml:space="preserve"> </w:t>
      </w:r>
    </w:p>
    <w:p>
      <w:pPr>
        <w:pStyle w:val="BodyText"/>
      </w:pPr>
      <w:r>
        <w:rPr>
          <w:bCs/>
          <w:b/>
        </w:rPr>
        <w:t xml:space="preserve">На реализацию мероприятий по благоустройству и содержанию территорий районов Москвы выделено около 1,3 млрд руб.</w:t>
      </w:r>
    </w:p>
    <w:p>
      <w:pPr>
        <w:pStyle w:val="BodyText"/>
      </w:pPr>
      <w:r>
        <w:rPr>
          <w:bCs/>
          <w:b/>
        </w:rPr>
        <w:t xml:space="preserve">Во вторник, 4 февраля, на заседании Правительства Москвы подвели итоги мероприятий, реализуемых в рамках стимулирования органов местного самоуправления в 2013 году.</w:t>
      </w:r>
    </w:p>
    <w:p>
      <w:pPr>
        <w:pStyle w:val="BodyText"/>
      </w:pPr>
      <w:r>
        <w:t xml:space="preserve">В целях поддержки системы самоуправления в Москве в конце 2012 года Правительством города принято постановление «О стимулировании районов», которое дает управам возможность получения дополнительных средств на финансирование развития своих районов. Все средства, которые поступили в бюджет Москвы в результате взимания штрафов с подрядчиков; легализации рынка аренды жилья;  организации парковочного пространства и применения патентной системы налогообложения, направлены обратно в те районы, где были собраны в форме дополнительных финансовых ассигнований.  Распределение средств производится два раза в год.</w:t>
      </w:r>
    </w:p>
    <w:p>
      <w:pPr>
        <w:pStyle w:val="BodyText"/>
      </w:pPr>
      <w:r>
        <w:t xml:space="preserve"> В рамках реализации данного постановления  по итогам 2012  года до управ доведено 1,1 млрд руб.  средств дополнительного финансирования, по итогам 2013 года данная сумма составит 2,1 млрд рублей (из них 1 млрд рублей уже доведен до управ по результатам первого полугодия 2013 года).</w:t>
      </w:r>
    </w:p>
    <w:p>
      <w:pPr>
        <w:pStyle w:val="BodyText"/>
      </w:pPr>
      <w:r>
        <w:t xml:space="preserve">Сумма стимулирования, направляемая в районы столицы, по итогам  работы во втором полугодии 2013 года, составляет 1,3 млрд рублей и включает в себя:</w:t>
      </w:r>
    </w:p>
    <w:p>
      <w:pPr>
        <w:pStyle w:val="BodyText"/>
      </w:pPr>
      <w:r>
        <w:t xml:space="preserve">- 443 млн рублей (35,0%) средств – это доходы от штрафов за неисполнение, несвоевременное или некачественное исполнение подрядчиками условий госконтрактов;</w:t>
      </w:r>
    </w:p>
    <w:p>
      <w:pPr>
        <w:pStyle w:val="BodyText"/>
      </w:pPr>
      <w:r>
        <w:t xml:space="preserve">- 273 млн рублей (21%)– доходы, полученные по налогу на доходы физлиц от аренды жилых и нежилых помещений;</w:t>
      </w:r>
    </w:p>
    <w:p>
      <w:pPr>
        <w:pStyle w:val="BodyText"/>
      </w:pPr>
      <w:r>
        <w:t xml:space="preserve">- 290 млн рублей (23%) – доходы от поступлений по патентам (на эту сумму приобретено 17 610 патентов, из них около 12 тысяч - приобретены на 2013 год; около 6 000 – на 2014 год);  </w:t>
      </w:r>
    </w:p>
    <w:p>
      <w:pPr>
        <w:pStyle w:val="BodyText"/>
      </w:pPr>
      <w:r>
        <w:t xml:space="preserve">- 263 млн рублей (21%) – доходы, взимаемые в качестве платы за пользование парковочными местами (10 районов ЦАО).</w:t>
      </w:r>
    </w:p>
    <w:p>
      <w:pPr>
        <w:pStyle w:val="BodyText"/>
      </w:pPr>
      <w:r>
        <w:t xml:space="preserve">Больше всего средств от использования платных парковок поступило от Тверского (85,5 млн руб.), Басманного (59 млн руб.), и Пресненского районов (38 млн руб.). До 25 декабря 2013 года общее количество платных машиномест в ЦАО составляло 3,3 тысячи, а сегодня их уже свыше 12 тысяч.</w:t>
      </w:r>
    </w:p>
    <w:p>
      <w:pPr>
        <w:pStyle w:val="BodyText"/>
      </w:pPr>
      <w:r>
        <w:t xml:space="preserve">Наибольший объем средств получают Центральный (403 млн руб.), Южный (197 млн руб.) и Северный (145 млн руб.) административные округа столицы.</w:t>
      </w:r>
    </w:p>
    <w:p>
      <w:pPr>
        <w:pStyle w:val="BodyText"/>
      </w:pPr>
      <w:r>
        <w:t xml:space="preserve">Соответственно, наименьший объем приходится на Северо-Западный (64 млн руб.) и Северо-Восточный (67 млн руб) АО.</w:t>
      </w:r>
    </w:p>
    <w:p>
      <w:pPr>
        <w:pStyle w:val="BodyText"/>
      </w:pPr>
      <w:r>
        <w:t xml:space="preserve">На заседании Правительства Москвы также принято решение о расширении перечня работ, на которые направляются средства в рамках стимулирования органом местного самоуправления, включив в него улучшение зоны пешеходной доступности станций Московского метрополитена. В этой связи планируется проведение в радиусе 1,2 км от станций метрополитена работ по замене асфальтобетонного покрытия, установке освещения, устройству ливневой канализации, общему благоустройству.</w:t>
      </w:r>
    </w:p>
    <w:p>
      <w:pPr>
        <w:pStyle w:val="BodyText"/>
      </w:pPr>
      <w:r>
        <w:t xml:space="preserve">Выполнение указанных работ повысит как комфортность пешеходного пути для москвичей, так и общую привлекательность метро как общественного транспорта. В свою очередь, это будет способствовать сокращению количества личного автотранспорта на дорогах мегаполиса.</w:t>
      </w:r>
    </w:p>
    <w:p>
      <w:pPr>
        <w:pStyle w:val="BodyText"/>
      </w:pPr>
      <w:r>
        <w:t xml:space="preserve">По мнению членов Правительства Москвы, данная мера позволит обеспечить более сбалансированное расходование средств на капремонте многоквартирных домов и улучшении пешеходной доступности станций метрополитена.</w:t>
      </w:r>
    </w:p>
    <w:p>
      <w:pPr>
        <w:pStyle w:val="BodyText"/>
      </w:pPr>
      <w:r>
        <w:t xml:space="preserve">Министр Правительства Москвы, руководитель Департамента экономической политики и развития города Максим Решетников отметил, что у властей города есть проработанный план по увеличению доходов по каждому из источников дополнительного финансирования муниципальных образований. «</w:t>
      </w:r>
      <w:r>
        <w:rPr>
          <w:iCs/>
          <w:i/>
        </w:rPr>
        <w:t xml:space="preserve">Здесь очень много зависит от префектур и самих муниципальных депутатов, насколько они активно включились в работу</w:t>
      </w:r>
      <w:r>
        <w:t xml:space="preserve">», — подчеркнул руководитель Департамента и пояснил, что, например, активность депутатов и жителей районов способствует выявлению квартир, сдаваемых в аренду без уплаты необходимых налогов. Муниципальные депутаты также могут оказать властям помощь в разъяснении индивидуальным предпринимателям на местах выгоды патентной системы налогообложения. М.Решетников отметил, что созданная Правительством Москвы система даёт возможность органам местного самоуправления не только распределять финансы на работы по развитию районов, но и влиять на размер получаемых средств.</w:t>
      </w:r>
    </w:p>
    <w:p>
      <w:pPr>
        <w:pStyle w:val="BodyText"/>
      </w:pPr>
    </w:p>
    <w:p>
      <w:pPr>
        <w:pStyle w:val="BodyText"/>
      </w:pPr>
      <w:r>
        <w:rPr>
          <w:bCs/>
          <w:b/>
        </w:rPr>
        <w:t xml:space="preserve"> </w:t>
      </w:r>
    </w:p>
    <w:p>
      <w:pPr>
        <w:pStyle w:val="BodyText"/>
      </w:pPr>
      <w:r>
        <w:rPr>
          <w:bCs/>
          <w:b/>
        </w:rPr>
        <w:t xml:space="preserve">Справка:</w:t>
      </w:r>
    </w:p>
    <w:p>
      <w:pPr>
        <w:pStyle w:val="BodyText"/>
      </w:pPr>
      <w:r>
        <w:rPr>
          <w:iCs/>
          <w:i/>
        </w:rPr>
        <w:t xml:space="preserve">По данным Департамента экономической политики и развития города Москвы, из 2,1 млрд руб, направленных на стимулирование районных управ в 2013 году, 68% всех средств или 1,4 млрд руб. было направлено на мероприятия по благоустройству районов. В частности, проведено комплексное благоустройство порядка 480 дворов; отремонтировано 84 внутриквартальных проезда; отдельные виды работ (замена асфальтобетонного покрытия, бордюров, установка детских и спортивных площадок, площадок для тихого отдыха, устройство газонов, цветников, парковочных мест) проведены в 1,5 тыс. московских дворов. 28% или 598 млн. руб. от общего объема финансирования израсходованы на капремонт многоквартирных домов. Всего на 605 домах выполнены работы по капремонту отдельных конструктивных элементов (ремонт подъездов, инженерных систем, фасадов, кровель).</w:t>
      </w:r>
    </w:p>
    <w:p>
      <w:pPr>
        <w:pStyle w:val="BodyText"/>
      </w:pPr>
      <w:r>
        <w:rPr>
          <w:iCs/>
          <w:i/>
        </w:rPr>
        <w:t xml:space="preserve">В одиннадцати районах столицы (Таганский, Тверской, Войковский, Отрадное, Косино-Ухтомский, Печатники, Нагатинский затон, Котловка, Тропарево-Никулино, Щукино, Крюково) в рамках пилотного проекта по определению мероприятий в сфере благоустройства, реализуемых по результатам народного голосования, обустроено 27 объектов. Это реализованные пожелания жителей по созданию тематических детских площадок и городков, в том числе для деток с ограниченными возможностями; спортивные площадки, ролледром в сквере Санникова-Хачатуряна (Отрадное); скейт-парк «Москворецкий» (Щукино), благоустройство пешеходных зон и др.</w:t>
      </w:r>
    </w:p>
    <w:p>
      <w:pPr>
        <w:pStyle w:val="BodyText"/>
      </w:pPr>
      <w:r>
        <w:t xml:space="preserve"> </w:t>
      </w:r>
    </w:p>
    <w:p>
      <w:pPr>
        <w:pStyle w:val="BodyText"/>
      </w:pPr>
      <w:r>
        <w:t xml:space="preserve"> </w:t>
      </w:r>
    </w:p>
    <w:p>
      <w:pPr>
        <w:pStyle w:val="BodyText"/>
      </w:pPr>
      <w:r>
        <w:rPr>
          <w:bCs/>
          <w:b/>
        </w:rPr>
        <w:t xml:space="preserve"> </w:t>
      </w:r>
    </w:p>
    <w:p>
      <w:pPr>
        <w:pStyle w:val="BodyText"/>
      </w:pPr>
      <w:r>
        <w:br/>
      </w:r>
    </w:p>
    <w:p>
      <w:pPr>
        <w:pStyle w:val="BodyText"/>
      </w:pPr>
      <w:r>
        <w:t xml:space="preserve">Адрес страницы:</w:t>
      </w:r>
      <w:r>
        <w:t xml:space="preserve"> </w:t>
      </w:r>
      <w:hyperlink r:id="rId20">
        <w:r>
          <w:rPr>
            <w:rStyle w:val="Hyperlink"/>
          </w:rPr>
          <w:t xml:space="preserve">http://chertanovo-juzhnoe.mos.ru/local-self-government/detail/948964.html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local-self-government/detail/9489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local-self-government/detail/9489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2025-04-10T02:56:05Z</dcterms:created>
  <dcterms:modified xsi:type="dcterms:W3CDTF">2025-04-10T02:56:05Z</dcterms:modified>
</cp:coreProperties>
</file>

<file path=docProps/custom.xml><?xml version="1.0" encoding="utf-8"?>
<Properties xmlns="http://schemas.openxmlformats.org/officeDocument/2006/custom-properties" xmlns:vt="http://schemas.openxmlformats.org/officeDocument/2006/docPropsVTypes"/>
</file>