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8015d2f5b1f97888e63008119f02aeaf5cb95"/>
    <w:p>
      <w:pPr>
        <w:pStyle w:val="Heading3"/>
      </w:pPr>
      <w:r>
        <w:t xml:space="preserve">Заслушивание отчета главы управы района Чертаново Южное перед Советом депутатов муниципального округа состоится 17 февраля 2015 года</w:t>
      </w:r>
    </w:p>
    <w:p>
      <w:pPr>
        <w:pStyle w:val="FirstParagraph"/>
      </w:pPr>
      <w:r>
        <w:t xml:space="preserve">12.02.2015</w:t>
      </w:r>
    </w:p>
    <w:p>
      <w:pPr>
        <w:pStyle w:val="BodyText"/>
      </w:pPr>
      <w:r>
        <w:t xml:space="preserve">Заслушивание отчета главы управы района Чертаново Южное о результатах деятельности управы в 2014 году состоится на заседании Совета депутатов 17 февраля 2015 года в 16.00 по адресу: ул. Подольских курсантов, 4А, управа района Чертаново Южное, зал заседаний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http://chertanovo-juzhnoe.mos.ru/local-self-government/detail/1579113.html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local-self-government/detail/15791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local-self-government/detail/15791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2025-04-10T02:55:35Z</dcterms:created>
  <dcterms:modified xsi:type="dcterms:W3CDTF">2025-04-10T02:55:35Z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