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2932798f84be0c0bfec6ea08494876ef996de"/>
    <w:p>
      <w:pPr>
        <w:pStyle w:val="Heading3"/>
      </w:pPr>
      <w:r>
        <w:t xml:space="preserve">Приложение к решению Совета депутатов муниципального округа Чертаново Южное от 15.01.2015 года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drawing>
          <wp:inline>
            <wp:extent cx="5334000" cy="87854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reshenie_ot_15.01.15_01-03-3-15_str_2_chertanovo_j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85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http://chertanovo-juzhnoe.mos.ru/local-self-government/detail/1576668.html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local-self-government/detail/1576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local-self-government/detail/1576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2025-04-10T02:55:26Z</dcterms:created>
  <dcterms:modified xsi:type="dcterms:W3CDTF">2025-04-10T02:55:26Z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