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76a0103285e1832cf656b6e05a52ca93ed2f48"/>
    <w:p>
      <w:pPr>
        <w:pStyle w:val="Heading3"/>
      </w:pPr>
      <w:r>
        <w:t xml:space="preserve">Вступили в силу новые правила противопожарного режима</w:t>
      </w:r>
    </w:p>
    <w:p>
      <w:pPr>
        <w:pStyle w:val="FirstParagraph"/>
      </w:pPr>
      <w:r>
        <w:t xml:space="preserve">28.09.2017</w:t>
      </w:r>
    </w:p>
    <w:bookmarkEnd w:id="20"/>
    <w:bookmarkStart w:id="21" w:name="вступили-в-силу"/>
    <w:p>
      <w:pPr>
        <w:pStyle w:val="Heading1"/>
      </w:pPr>
      <w:r>
        <w:t xml:space="preserve">Вступили в силу</w:t>
      </w:r>
    </w:p>
    <w:bookmarkEnd w:id="21"/>
    <w:bookmarkStart w:id="22" w:name="новые-правила-противопожарного-режима"/>
    <w:p>
      <w:pPr>
        <w:pStyle w:val="Heading1"/>
      </w:pPr>
      <w:r>
        <w:t xml:space="preserve">новые ПРАВИЛА ПРОТИВОПОЖАРНОГО РЕЖИМА!</w:t>
      </w:r>
    </w:p>
    <w:bookmarkEnd w:id="22"/>
    <w:bookmarkStart w:id="28" w:name="обзор-изменений"/>
    <w:p>
      <w:pPr>
        <w:pStyle w:val="Heading1"/>
      </w:pPr>
      <w:r>
        <w:t xml:space="preserve">Обзор Изменений!</w:t>
      </w:r>
    </w:p>
    <w:p>
      <w:pPr>
        <w:pStyle w:val="FirstParagraph"/>
      </w:pPr>
      <w:r>
        <w:t xml:space="preserve">Информация для руководителей и специалистов, занятых в области пожарной безопасности.</w:t>
      </w:r>
      <w:r>
        <w:t xml:space="preserve"> </w:t>
      </w:r>
      <w:r>
        <w:rPr>
          <w:bCs/>
          <w:b/>
        </w:rPr>
        <w:t xml:space="preserve">26 сентября</w:t>
      </w:r>
      <w:r>
        <w:t xml:space="preserve">, вступили в силу новые Правила противопожарного режима в РФ. Постановлением Правительства РФ от 20 сентября 2016 года № 947 было внесено 100 поправок! Скачать новые Правила противопожарного режима в редакции постановления № 947 и комментарии МЧС можно будет чуть ниже, а пока обзор некоторых изменений.</w:t>
      </w:r>
    </w:p>
    <w:p>
      <w:pPr>
        <w:pStyle w:val="BodyText"/>
      </w:pPr>
      <w:r>
        <w:rPr>
          <w:bCs/>
          <w:b/>
        </w:rPr>
        <w:t xml:space="preserve">ОБЗОР НАИБОЛЕЕ ЗНАЧИМЫХ ИЗМЕНЕНИЙ, ВНЕСЁННЫХ В ПРАВИЛА ПРОТИВОПОЖАРНОГО РЕЖИМА В РФ</w:t>
      </w:r>
    </w:p>
    <w:p>
      <w:pPr>
        <w:pStyle w:val="BodyText"/>
      </w:pPr>
      <w:r>
        <w:rPr>
          <w:bCs/>
          <w:b/>
        </w:rPr>
        <w:t xml:space="preserve">1. Уточнены критерии объектов с ночным пребыванием людей.</w:t>
      </w:r>
    </w:p>
    <w:p>
      <w:pPr>
        <w:pStyle w:val="BodyText"/>
      </w:pPr>
      <w:r>
        <w:t xml:space="preserve">Пункт 8. На объекте защиты с ночным пребыванием людей (за исключением производственных и складских объектов защиты, жилых зданий, объектов с персоналом, осуществляющим круглосуточную охрану) руководитель организации организует круглосуточное дежурство обслуживающего персонала.</w:t>
      </w:r>
    </w:p>
    <w:p>
      <w:pPr>
        <w:pStyle w:val="BodyText"/>
      </w:pPr>
      <w:r>
        <w:rPr>
          <w:bCs/>
          <w:b/>
        </w:rPr>
        <w:t xml:space="preserve">2. Уточнено необходимое количество СИЗОД и СИЗЗ человека от токсичных продуктов горения для объектов с ночным пребыванием людей.</w:t>
      </w:r>
    </w:p>
    <w:p>
      <w:pPr>
        <w:pStyle w:val="BodyText"/>
      </w:pPr>
      <w:r>
        <w:t xml:space="preserve">Пункт 9. На объекте защиты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время, телефонной связи, электрических фонарей (не менее 1 фонаря на каждого дежурного), средств индивидуальной защиты органов дыхания и зрения человека от токсичных продуктов горения из расчёта не менее 1 средства индивидуальной защиты органов дыхания и зрения человека на каждого дежурного.</w:t>
      </w:r>
    </w:p>
    <w:p>
      <w:pPr>
        <w:pStyle w:val="BodyText"/>
      </w:pPr>
      <w:r>
        <w:rPr>
          <w:bCs/>
          <w:b/>
        </w:rPr>
        <w:t xml:space="preserve">3. Переработаны и конкретизированы требования к зданиям для летнего отдыха детей.</w:t>
      </w:r>
    </w:p>
    <w:p>
      <w:pPr>
        <w:pStyle w:val="BodyText"/>
      </w:pPr>
      <w:r>
        <w:t xml:space="preserve">Пункт 10. Руководитель организации обеспечивает (ежедневно) передачу в подразделение пожарной охраны, в районе выезда которого находится объект защиты с ночным пребыванием людей, информации о количестве людей (больных), находящихся на объекте защиты (в том числе в ночное время).</w:t>
      </w:r>
    </w:p>
    <w:p>
      <w:pPr>
        <w:pStyle w:val="BodyText"/>
      </w:pPr>
      <w:r>
        <w:rPr>
          <w:bCs/>
          <w:b/>
        </w:rPr>
        <w:t xml:space="preserve">4. Переработаны требования по проверке качества огнезащитной обработки. Конкретизированы действия, выполняемые после окончания гарантированного срока огнезащитной эффективности.</w:t>
      </w:r>
    </w:p>
    <w:p>
      <w:pPr>
        <w:pStyle w:val="BodyText"/>
      </w:pPr>
      <w:r>
        <w:t xml:space="preserve">Пункт 21. Руководитель организации обеспечивает устранение повреждений средств огнезащиты для строительных конструкций, инженерного оборудования зданий и сооружений, а также осуществляет проверку состояния огнезащитной обработки (пропитки) в соответствии с инструкцией изготовителя и составляет акт (протокол) проверки состояния огнезащитной обработки (пропитки). Проверка состояния огнезащитной обработки (пропитки) при отсутствии в инструкции сроков периодичности проводится не реже 1 раза в год.</w:t>
      </w:r>
    </w:p>
    <w:p>
      <w:pPr>
        <w:pStyle w:val="BodyText"/>
      </w:pPr>
      <w:r>
        <w:t xml:space="preserve">В случае окончания гарантированного срока огнезащитной эффективности в соответствии с инструкцией завода-изготовителя и (или) производителя огнезащитных работ руководитель организации обеспечивает проведение повторной обработки конструкций и инженерного оборудования зданий и сооружений.</w:t>
      </w:r>
    </w:p>
    <w:p>
      <w:pPr>
        <w:pStyle w:val="BodyText"/>
      </w:pPr>
      <w:r>
        <w:rPr>
          <w:bCs/>
          <w:b/>
        </w:rPr>
        <w:t xml:space="preserve">5. Удалён запрет на выполнение встроенных помещений из листового металла в складах и производственных помещениях.</w:t>
      </w:r>
    </w:p>
    <w:p>
      <w:pPr>
        <w:pStyle w:val="BodyText"/>
      </w:pPr>
      <w:r>
        <w:t xml:space="preserve">Пункт 23. На объектах защиты запрещается:</w:t>
      </w:r>
    </w:p>
    <w:p>
      <w:pPr>
        <w:pStyle w:val="BodyText"/>
      </w:pPr>
      <w:r>
        <w:t xml:space="preserve">...</w:t>
      </w:r>
    </w:p>
    <w:p>
      <w:pPr>
        <w:pStyle w:val="BodyText"/>
      </w:pPr>
      <w:r>
        <w:t xml:space="preserve">л) устраивать в производственных и складских помещениях зданий (кроме зданий V степени огнестойкости) антресоли, конторки и другие встроенные помещения из горючих материалов;</w:t>
      </w:r>
    </w:p>
    <w:p>
      <w:pPr>
        <w:pStyle w:val="BodyText"/>
      </w:pPr>
      <w:r>
        <w:t xml:space="preserve">...</w:t>
      </w:r>
    </w:p>
    <w:p>
      <w:pPr>
        <w:pStyle w:val="BodyText"/>
      </w:pPr>
      <w:r>
        <w:rPr>
          <w:bCs/>
          <w:b/>
        </w:rPr>
        <w:t xml:space="preserve">6. Внесён запрет на изменение класса функциональной пожарной опасности зданий и помещений.</w:t>
      </w:r>
    </w:p>
    <w:p>
      <w:pPr>
        <w:pStyle w:val="BodyText"/>
      </w:pPr>
      <w:r>
        <w:t xml:space="preserve">Пункт 23. На объектах защиты запрещается:</w:t>
      </w:r>
    </w:p>
    <w:p>
      <w:pPr>
        <w:pStyle w:val="BodyText"/>
      </w:pPr>
      <w:r>
        <w:t xml:space="preserve">...</w:t>
      </w:r>
    </w:p>
    <w:p>
      <w:pPr>
        <w:pStyle w:val="BodyText"/>
      </w:pPr>
      <w:r>
        <w:t xml:space="preserve">о) изменять (без проведения в установленном законодательством Российской Федерации о градостроительной деятельности и законодательством Российской Федерации о пожарной безопасности порядке экспертизы проектной документации) предусмотренный документацией класс функциональной пожарной опасности зданий (сооружения, пожарные отсеки и части зданий, сооружений — помещения или группы помещений, функционально связанные между собой).</w:t>
      </w:r>
    </w:p>
    <w:p>
      <w:pPr>
        <w:pStyle w:val="BodyText"/>
      </w:pPr>
      <w:r>
        <w:t xml:space="preserve">...</w:t>
      </w:r>
    </w:p>
    <w:p>
      <w:pPr>
        <w:pStyle w:val="BodyText"/>
      </w:pPr>
      <w:r>
        <w:rPr>
          <w:bCs/>
          <w:b/>
        </w:rPr>
        <w:t xml:space="preserve">7. Изменён пункт 35 по устройству запоров на дверях эвакуационных выходов.</w:t>
      </w:r>
    </w:p>
    <w:p>
      <w:pPr>
        <w:pStyle w:val="BodyText"/>
      </w:pPr>
      <w:r>
        <w:t xml:space="preserve">Пункт 35. Запоры на дверях эвакуационных выходов должны обеспечивать возможность их свободного открывания изнутри без ключа, за исключением случаев, устанавливаемых законодательством Российской Федерации.</w:t>
      </w:r>
    </w:p>
    <w:p>
      <w:pPr>
        <w:pStyle w:val="BodyText"/>
      </w:pPr>
      <w:r>
        <w:t xml:space="preserve">Руководителем организации, на объекте защиты которой возник пожар, обеспечивается доступ пожарным подразделениям в закрытые помещения для целей локализации и тушения пожара.</w:t>
      </w:r>
    </w:p>
    <w:p>
      <w:pPr>
        <w:pStyle w:val="BodyText"/>
      </w:pPr>
      <w:r>
        <w:rPr>
          <w:bCs/>
          <w:b/>
        </w:rPr>
        <w:t xml:space="preserve">8. Требования по безопасному устройству транспарантов и баннеров, размещаемых на фасадах зданий, перенесены в общий раздел Правил, а также несколько расширены в части обеспечения класса конструктивной пожарной опасности зданий, на которых они размещаются.</w:t>
      </w:r>
    </w:p>
    <w:p>
      <w:pPr>
        <w:pStyle w:val="BodyText"/>
      </w:pPr>
      <w:r>
        <w:t xml:space="preserve">Пункт 40 (1). Транспаранты и баннеры, размещаемые на фасадах зданий и сооружений, выполняются из негорючих или трудногорючих материалов. При этом их размещение не должно ограничивать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пожаре.</w:t>
      </w:r>
    </w:p>
    <w:p>
      <w:pPr>
        <w:pStyle w:val="BodyText"/>
      </w:pPr>
      <w:r>
        <w:t xml:space="preserve">Транспаранты и баннеры должны соответствовать требованиям пожарной безопасности, предъявляемым к облицовке внешних поверхностей наружных стен.</w:t>
      </w:r>
    </w:p>
    <w:p>
      <w:pPr>
        <w:pStyle w:val="BodyText"/>
      </w:pPr>
      <w:r>
        <w:t xml:space="preserve">Прокладка в пространстве воздушного зазора навесных фасадных систем открытым способом электрических кабелей и проводов не допускается.</w:t>
      </w:r>
    </w:p>
    <w:p>
      <w:pPr>
        <w:pStyle w:val="BodyText"/>
      </w:pPr>
      <w:r>
        <w:rPr>
          <w:bCs/>
          <w:b/>
        </w:rPr>
        <w:t xml:space="preserve">9. Возвращён и актуализирован запрет на несертифицированные аппараты защиты электрических цепей.</w:t>
      </w:r>
    </w:p>
    <w:p>
      <w:pPr>
        <w:pStyle w:val="BodyText"/>
      </w:pPr>
      <w:r>
        <w:t xml:space="preserve">Пункт 42. Запрещается:</w:t>
      </w:r>
    </w:p>
    <w:p>
      <w:pPr>
        <w:pStyle w:val="BodyText"/>
      </w:pPr>
      <w:r>
        <w:t xml:space="preserve">...</w:t>
      </w:r>
      <w:r>
        <w:br/>
      </w:r>
      <w:r>
        <w:t xml:space="preserve">д) применять нестандартные (самодельные) электронагревательные приборы и использовать несертифицированные аппараты защиты электрических цепей;</w:t>
      </w:r>
    </w:p>
    <w:p>
      <w:pPr>
        <w:pStyle w:val="BodyText"/>
      </w:pPr>
      <w:r>
        <w:t xml:space="preserve">...</w:t>
      </w:r>
    </w:p>
    <w:p>
      <w:pPr>
        <w:pStyle w:val="BodyText"/>
      </w:pPr>
      <w:r>
        <w:rPr>
          <w:bCs/>
          <w:b/>
        </w:rPr>
        <w:t xml:space="preserve">10. Преобразованны требования пожарной безопасности при эксплуатации газовых приборов.</w:t>
      </w:r>
    </w:p>
    <w:p>
      <w:pPr>
        <w:pStyle w:val="BodyText"/>
      </w:pPr>
      <w:r>
        <w:t xml:space="preserve">Пункт 46. При эксплуатации газовых приборов запрещается:</w:t>
      </w:r>
    </w:p>
    <w:p>
      <w:pPr>
        <w:pStyle w:val="BodyText"/>
      </w:pPr>
      <w:r>
        <w:t xml:space="preserve">а) пользоваться неисправными газовыми приборами;</w:t>
      </w:r>
    </w:p>
    <w:p>
      <w:pPr>
        <w:pStyle w:val="BodyText"/>
      </w:pPr>
      <w:r>
        <w:t xml:space="preserve">б) оставлять их включенными без присмотра, за исключением газовых приборов, которые могут и (или) должны находиться в круглосуточном режиме работы в соответствии с инструкцией завода-изготовителя;</w:t>
      </w:r>
    </w:p>
    <w:p>
      <w:pPr>
        <w:pStyle w:val="BodyText"/>
      </w:pPr>
      <w:r>
        <w:t xml:space="preserve">в) устанавливать (размещать) мебель и другие горючие предметы и материалы на расстоянии менее 0,2 метра от бытовых газовых приборов по горизонтали и менее 0,7 метра по вертикали (при нависании указанных предметов и материалов над бытовыми газовыми приборами).</w:t>
      </w:r>
    </w:p>
    <w:p>
      <w:pPr>
        <w:pStyle w:val="BodyText"/>
      </w:pPr>
      <w:r>
        <w:rPr>
          <w:bCs/>
          <w:b/>
        </w:rPr>
        <w:t xml:space="preserve">11. В дополнение к пожарным гидрантам добавлено требование по содержанию пожарных резервуаров в зимнее время.</w:t>
      </w:r>
    </w:p>
    <w:p>
      <w:pPr>
        <w:pStyle w:val="BodyText"/>
      </w:pPr>
      <w:r>
        <w:t xml:space="preserve">Пункт 55. Руководитель организации обеспечивает исправность, своевременное обслуживание и ремонт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актов.</w:t>
      </w:r>
    </w:p>
    <w:p>
      <w:pPr>
        <w:pStyle w:val="BodyText"/>
      </w:pPr>
      <w:r>
        <w:t xml:space="preserve">Руководитель организации при отключении участков водопроводной сети и (или) пожарных гидрантов, а также при уменьшении давления в водопроводной сети ниже требуемого извещает об этом подразделение пожарной охраны.</w:t>
      </w:r>
    </w:p>
    <w:p>
      <w:pPr>
        <w:pStyle w:val="BodyText"/>
      </w:pPr>
      <w:r>
        <w:t xml:space="preserve">Руководитель организации обеспечивает исправное состояние пожарных гидрантов и резервуаров, являющихся источником противопожарного водоснабжения, их утепление и очистку от снега и льда в зимнее время, а также доступность подъезда пожарной техники и забора воды в любое время года.</w:t>
      </w:r>
    </w:p>
    <w:p>
      <w:pPr>
        <w:pStyle w:val="BodyText"/>
      </w:pPr>
      <w:r>
        <w:t xml:space="preserve">Направление движения к пожарным гидрантам и резервуарам, являющимся источником противопожарного водоснабжения, должно обозначаться указателями с чётко нанесенными цифрами расстояния до их месторасположения.</w:t>
      </w:r>
    </w:p>
    <w:p>
      <w:pPr>
        <w:pStyle w:val="BodyText"/>
      </w:pPr>
      <w:r>
        <w:rPr>
          <w:bCs/>
          <w:b/>
        </w:rPr>
        <w:t xml:space="preserve">12. Удалено требование о необходимости устройства пожарных шкафов из негорючих материалов.</w:t>
      </w:r>
    </w:p>
    <w:p>
      <w:pPr>
        <w:pStyle w:val="BodyText"/>
      </w:pPr>
      <w:r>
        <w:t xml:space="preserve">Пункт 57. Руководитель организации обеспечивает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клапанами, организует перекатку пожарных рукавов (не реже 1 раза в год).</w:t>
      </w:r>
    </w:p>
    <w:p>
      <w:pPr>
        <w:pStyle w:val="BodyText"/>
      </w:pPr>
      <w:r>
        <w:t xml:space="preserve">Пожарный рукав должен быть присоединён к пожарному крану и пожарному стволу и размещаться в навесных, встроенных или приставных пожарных шкафах, имеющих элементы для обеспечения их опломбирования и фиксации в закрытом положении.</w:t>
      </w:r>
    </w:p>
    <w:p>
      <w:pPr>
        <w:pStyle w:val="BodyText"/>
      </w:pPr>
      <w:r>
        <w:t xml:space="preserve">Пожарные шкафы (за исключением встроенных пожарных шкафов) крепятся к несущим или ограждающим строительным конструкциям, при этом обеспечивается открывание дверей шкафов не менее чем на 90 градусов.</w:t>
      </w:r>
    </w:p>
    <w:p>
      <w:pPr>
        <w:pStyle w:val="BodyText"/>
      </w:pPr>
      <w:r>
        <w:rPr>
          <w:bCs/>
          <w:b/>
        </w:rPr>
        <w:t xml:space="preserve">13. Добавлены требования к содержанию водонапорных башен, приспособленных для забора воды пожарной техникой в любое время года.</w:t>
      </w:r>
    </w:p>
    <w:p>
      <w:pPr>
        <w:pStyle w:val="BodyText"/>
      </w:pPr>
      <w:r>
        <w:t xml:space="preserve">Пункт 60 (1). Водонапорные башни должны быть приспособлены для забора воды пожарной техникой в любое время года. Использование для хозяйственных и производственных целей запаса воды в водонапорной башне, предназначенной для нужд пожаротушения, не разрешается.</w:t>
      </w:r>
    </w:p>
    <w:p>
      <w:pPr>
        <w:pStyle w:val="BodyText"/>
      </w:pPr>
      <w:r>
        <w:t xml:space="preserve">Для обеспечения бесперебойного энергоснабжения водонапорной башни предусматриваются автономные резервные источники электроснабжения.</w:t>
      </w:r>
    </w:p>
    <w:p>
      <w:pPr>
        <w:pStyle w:val="BodyText"/>
      </w:pPr>
      <w:r>
        <w:rPr>
          <w:bCs/>
          <w:b/>
        </w:rPr>
        <w:t xml:space="preserve">14. Удалено требование об обязательной проверке систем и установок пожарной безопасности не реже 1 раза в квартал – периодичность проверки устанавливается технической документацией заводов-изготовителей и/или национальных стандартов.</w:t>
      </w:r>
    </w:p>
    <w:p>
      <w:pPr>
        <w:pStyle w:val="BodyText"/>
      </w:pPr>
      <w:r>
        <w:t xml:space="preserve">Пункт 61. Руководитель организации обеспечивает исправное состояние систем и установок противопожарной защиты и организует проведение проверки их работоспособности в соответствии с инструкцией на технические средства завода-изготовителя, национальными и (или) международными стандартами и оформляет акт проверки.</w:t>
      </w:r>
    </w:p>
    <w:p>
      <w:pPr>
        <w:pStyle w:val="BodyText"/>
      </w:pPr>
      <w:r>
        <w:t xml:space="preserve">При монтаже, ремонте и обслуживании средств обеспечения пожарной безопасности зданий и сооружений должны соблюдаться проектные решения, требования нормативных документов по пожарной безопасности и (или) специальных технических условий.</w:t>
      </w:r>
    </w:p>
    <w:p>
      <w:pPr>
        <w:pStyle w:val="BodyText"/>
      </w:pPr>
      <w:r>
        <w:t xml:space="preserve">На объекте защиты должна храниться исполнительная документация на установки и системы противопожарной защиты объекта.</w:t>
      </w:r>
    </w:p>
    <w:p>
      <w:pPr>
        <w:pStyle w:val="BodyText"/>
      </w:pPr>
      <w:r>
        <w:rPr>
          <w:bCs/>
          <w:b/>
        </w:rPr>
        <w:t xml:space="preserve">15. Утратил силу пункт 66, которым допускалось использовать передачи текстов оповещения и управления эвакуацией людей внутренние радиотрансляционные сети и другие сети вещания, имеющиеся на объекте.</w:t>
      </w:r>
    </w:p>
    <w:p>
      <w:pPr>
        <w:pStyle w:val="BodyText"/>
      </w:pPr>
      <w:r>
        <w:rPr>
          <w:bCs/>
          <w:b/>
        </w:rPr>
        <w:t xml:space="preserve">16. Возвращён запрет на устройство временных строений от других зданий.</w:t>
      </w:r>
    </w:p>
    <w:p>
      <w:pPr>
        <w:pStyle w:val="BodyText"/>
      </w:pPr>
      <w:r>
        <w:t xml:space="preserve">Пункт 74. Запрещается использовать противопожарные расстояния между зданиями, сооружениями и строениями для складирования материалов, оборудования и тары, для стоянки транспорта и строительства (установки) зданий и сооружений, для разведения костров и сжигания отходов и тары.</w:t>
      </w:r>
    </w:p>
    <w:p>
      <w:pPr>
        <w:pStyle w:val="BodyText"/>
      </w:pPr>
      <w:r>
        <w:t xml:space="preserve">Временные строения должны располагаться на расстоянии не менее 15 метров от других зданий и сооружений или у противопожарных стен.</w:t>
      </w:r>
    </w:p>
    <w:p>
      <w:pPr>
        <w:pStyle w:val="BodyText"/>
      </w:pPr>
      <w:r>
        <w:t xml:space="preserve">На землях общего пользования населённых пунктов запрещается разводить костры, а также сжигать мусор, траву, листву и иные отходы, материалы или изделия, кроме как в местах и (или) способами, установленными органами местного самоуправления поселений и городских округов.</w:t>
      </w:r>
    </w:p>
    <w:p>
      <w:pPr>
        <w:pStyle w:val="BodyText"/>
      </w:pPr>
      <w:r>
        <w:rPr>
          <w:bCs/>
          <w:b/>
        </w:rPr>
        <w:t xml:space="preserve">17. Места и порядок разведения костров, сжигания травы и т.п. на землях общего пользования должны быть установлены органами местного самоуправления. Вернулось ограничение на разведение костров не ближе 50 метров от объектов защиты. Увеличено расстояние до объектов, необходимое для запуска «фонариков» и т.п. устройств.</w:t>
      </w:r>
    </w:p>
    <w:p>
      <w:pPr>
        <w:pStyle w:val="BodyText"/>
      </w:pPr>
      <w:r>
        <w:t xml:space="preserve">Пункт 77. Руководитель организации обеспечивает очистку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растительности.</w:t>
      </w:r>
    </w:p>
    <w:p>
      <w:pPr>
        <w:pStyle w:val="BodyText"/>
      </w:pPr>
      <w:r>
        <w:t xml:space="preserve">Не допускается сжигать отходы и тару, разводить костры в местах, находящихся на расстоянии менее 50 метров от объектов защиты.</w:t>
      </w:r>
    </w:p>
    <w:p>
      <w:pPr>
        <w:pStyle w:val="BodyText"/>
      </w:pPr>
      <w:r>
        <w:t xml:space="preserve">Запрещается на территории поселений, городских округов и внутригородских муниципальных образований, а также на расстоянии менее 1000 метров от лесных массивов запускать неуправляемые изделия из горючих материалов, принцип подъёма которых на высоту основан на нагревании воздуха внутри конструкции с помощью открытого огня.</w:t>
      </w:r>
    </w:p>
    <w:p>
      <w:pPr>
        <w:pStyle w:val="BodyText"/>
      </w:pPr>
      <w:r>
        <w:rPr>
          <w:bCs/>
          <w:b/>
        </w:rPr>
        <w:t xml:space="preserve">18. Возвращено требование о необходимости устройства площадок (пирсов) с твёрдым покрытием для установки пожарных автомобилей, при наличии на территории объекта или вблизи естественных, или искусственных водоисточников.</w:t>
      </w:r>
    </w:p>
    <w:p>
      <w:pPr>
        <w:pStyle w:val="BodyText"/>
      </w:pPr>
      <w:r>
        <w:t xml:space="preserve">Пункт 80. 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водоснабжения, расположенных в сельских населённых пунктах и на прилегающих к ним территориях в соответствии со статьёй 19 Федерального закона «О пожарной безопасности».</w:t>
      </w:r>
    </w:p>
    <w:p>
      <w:pPr>
        <w:pStyle w:val="BodyText"/>
      </w:pPr>
      <w:r>
        <w:t xml:space="preserve">При наличии на территории объекта защиты или вблизи него (в радиусе 200 метров) естественных или искусственных водоисточников (реки, озёра, бассейны, градирни и др.) к ним должны быть устроены подъезды с площадками (пирсами) с твёрдым покрытием размерами не менее 12 x 12 метров для установки пожарных автомобилей и забора воды в любое время года.</w:t>
      </w:r>
    </w:p>
    <w:p>
      <w:pPr>
        <w:pStyle w:val="BodyText"/>
      </w:pPr>
      <w:r>
        <w:rPr>
          <w:bCs/>
          <w:b/>
        </w:rPr>
        <w:t xml:space="preserve">19. Возвращена необходимость вывешивания планов эвакуации при пожаре в номерах гостиниц, общежитий и т.п. объектов.</w:t>
      </w:r>
    </w:p>
    <w:p>
      <w:pPr>
        <w:pStyle w:val="BodyText"/>
      </w:pPr>
      <w:r>
        <w:t xml:space="preserve">Пункт 89. Руководитель организации обеспечивает ознакомление (под подпись) граждан, прибывающих в гостиницы, мотели, общежития и другие здания, приспособленные для временного пребывания людей, с правилами пожарной безопасности. В номерах гостиниц, кемпингов, мотелей и общежитий вывешиваются планы эвакуации на случай пожара.</w:t>
      </w:r>
    </w:p>
    <w:p>
      <w:pPr>
        <w:pStyle w:val="BodyText"/>
      </w:pPr>
      <w:r>
        <w:t xml:space="preserve">При наличии на указанных объектах защиты иностранных граждан речевые сообщения в системах оповещения о пожаре и управления эвакуацией людей, а также памятки о мерах пожарной безопасности выполняются на русском и английском языках.</w:t>
      </w:r>
    </w:p>
    <w:p>
      <w:pPr>
        <w:pStyle w:val="BodyText"/>
      </w:pPr>
      <w:r>
        <w:rPr>
          <w:bCs/>
          <w:b/>
        </w:rPr>
        <w:t xml:space="preserve">20. Переработаны нормы во и комплектация первичных средств пожаротушения для объектов культурно-просветительных и зрелищных учреждений.</w:t>
      </w:r>
    </w:p>
    <w:p>
      <w:pPr>
        <w:pStyle w:val="BodyText"/>
      </w:pPr>
      <w:r>
        <w:t xml:space="preserve">Пункт 114 (1). Объекты защиты вместимостью не более 10 тыс. человек, на которых проводятся культурно-просветительные и зрелищные мероприятия, в целях тушения фальшфейеров оснащаются 10 огнетушителями в соответствии с приложением № 1 к настоящим Правилам и 10 покрывалами для изоляции очага возгорания, либо 20 покрывалами для изоляции очага возгорания, либо 20 огнетушителями в соответствии с указанным приложением.</w:t>
      </w:r>
    </w:p>
    <w:p>
      <w:pPr>
        <w:pStyle w:val="BodyText"/>
      </w:pPr>
      <w:r>
        <w:t xml:space="preserve">Объекты защиты вместимостью более 10 тыс. человек, на которых проводятся культурно-просветительные и зрелищные мероприятия, в целях тушения фальшфейеров дополнительно к указанному оснащению оснащаются 4 покрывалами для изоляции очага возгорания либо 2 покрывалами для изоляции очага возгорания и 2 огнетушителями в соответствии с приложением № 1 к настоящим Правилам.</w:t>
      </w:r>
    </w:p>
    <w:p>
      <w:pPr>
        <w:pStyle w:val="BodyText"/>
      </w:pPr>
      <w:r>
        <w:rPr>
          <w:bCs/>
          <w:b/>
        </w:rPr>
        <w:t xml:space="preserve">21. Преобразованы требования по реализации и хранению патронов, а также пиротехнических изделий на объектах торговли.</w:t>
      </w:r>
    </w:p>
    <w:p>
      <w:pPr>
        <w:pStyle w:val="BodyText"/>
      </w:pPr>
      <w:r>
        <w:t xml:space="preserve">Пункт 132. Патроны к оружию, а также пиротехнические изделия технического назначения хранятся в металлических шкафах, установленных в помещениях, отгороженных от других помещений противопожарными перегородками.</w:t>
      </w:r>
    </w:p>
    <w:p>
      <w:pPr>
        <w:pStyle w:val="BodyText"/>
      </w:pPr>
      <w:r>
        <w:t xml:space="preserve">Пиротехнические изделия бытового назначения хранятся в помещениях, отгороженных от других помещений противопожарными перегородками.</w:t>
      </w:r>
    </w:p>
    <w:p>
      <w:pPr>
        <w:pStyle w:val="BodyText"/>
      </w:pPr>
      <w:r>
        <w:t xml:space="preserve">Запрещается хранение патронов к оружию, а также пиротехнических изделий технического и бытового назначения в подвальных помещениях.</w:t>
      </w:r>
    </w:p>
    <w:p>
      <w:pPr>
        <w:pStyle w:val="BodyText"/>
      </w:pPr>
      <w:r>
        <w:rPr>
          <w:bCs/>
          <w:b/>
        </w:rPr>
        <w:t xml:space="preserve">22. Удалён запрет на установку штепсельных розеток в помещениях складов.</w:t>
      </w:r>
    </w:p>
    <w:p>
      <w:pPr>
        <w:pStyle w:val="BodyText"/>
      </w:pPr>
      <w:r>
        <w:t xml:space="preserve">Пункт 348. Запрещается в помещениях складов применять дежурное освещение, использовать газовые плиты и электронагревательные приборы.</w:t>
      </w:r>
    </w:p>
    <w:p>
      <w:pPr>
        <w:pStyle w:val="BodyText"/>
      </w:pPr>
      <w:r>
        <w:rPr>
          <w:bCs/>
          <w:b/>
        </w:rPr>
        <w:t xml:space="preserve">23. Преобразованы нормы и комплектация первичных средств пожаротушения для АЗС.</w:t>
      </w:r>
    </w:p>
    <w:p>
      <w:pPr>
        <w:pStyle w:val="BodyText"/>
      </w:pPr>
      <w:r>
        <w:t xml:space="preserve">Пункт 457. Автозаправочные станции оснащаются первичными средствами пожаротушения.</w:t>
      </w:r>
    </w:p>
    <w:p>
      <w:pPr>
        <w:pStyle w:val="BodyText"/>
      </w:pPr>
      <w:r>
        <w:t xml:space="preserve">Заправочный островок для заправки только легковых автомобилей, имеющий от 1 до 4 топливораздаточных колонок, оснащается не менее чем 2 огнетушителями (с учётом климатических условий эксплуатации) либо одним покрывалом (для изоляции очага возгорания) и 1 огнетушителем (с учётом климатических условий эксплуатации), а заправочный островок, имеющий от 5 до 8 топливораздаточных колонок, оснащается не менее чем 4 огнетушителями (с учётом климатических условий эксплуатации) либо 2 покрывалами (для изоляции очага возгорания) и 2 огнетушителями (с учётом климатических условий эксплуатации).</w:t>
      </w:r>
    </w:p>
    <w:p>
      <w:pPr>
        <w:pStyle w:val="BodyText"/>
      </w:pPr>
      <w:r>
        <w:t xml:space="preserve">Заправочный островок для заправки в том числе грузовых автомобилей, автобусов, крупногабаритной строительной и сельскохозяйственной техники оснащается не менее чем 2 передвижными огнетушителями (с учётом климатических условий эксплуатации) либо 4 покрывалами (для изоляции очага возгорания) и 1 огнетушителем (с учётом климатических условий эксплуатации).</w:t>
      </w:r>
    </w:p>
    <w:p>
      <w:pPr>
        <w:pStyle w:val="BodyText"/>
      </w:pPr>
      <w:r>
        <w:t xml:space="preserve">Площадка для автоцистерны оснащается не менее чем 2 передвижными огнетушителями (с учётом климатических условий эксплуатации огнетушителей) либо 1 покрывалом (для изоляции очага возгорания) и 1 огнетушителем (с учётом климатических условий эксплуатации).</w:t>
      </w:r>
    </w:p>
    <w:p>
      <w:pPr>
        <w:pStyle w:val="BodyText"/>
      </w:pPr>
      <w:r>
        <w:t xml:space="preserve">Размещение огнетушителей и покрывал для изоляции очага возгорания на заправочных островках предусматривается в легкодоступных местах, защищенных от атмосферных осадков.</w:t>
      </w:r>
    </w:p>
    <w:p>
      <w:pPr>
        <w:pStyle w:val="BodyText"/>
      </w:pPr>
      <w:r>
        <w:rPr>
          <w:bCs/>
          <w:b/>
        </w:rPr>
        <w:t xml:space="preserve">24. Добавлено требование о необходимости устройства у въездов на территорию гаражных кооперативов, садоводческих и дачных некоммерческих объединений граждан схемы с нанесёнными на них въездами, подъездами, пожарными проездами и местонахождением источников противопожарного водоснабжения.</w:t>
      </w:r>
    </w:p>
    <w:p>
      <w:pPr>
        <w:pStyle w:val="BodyText"/>
      </w:pPr>
      <w:r>
        <w:t xml:space="preserve">Пункт 492. У въездов на территорию строительных площадок, гаражных кооперативов, а также садоводческих, огороднических и дачных некоммерческих объединений граждан вывешиваются схемы с нанесёнными на них въездами, подъездами, пожарными проездами и местонахождением источников противопожарного водоснабжения.</w:t>
      </w:r>
    </w:p>
    <w:p>
      <w:pPr>
        <w:pStyle w:val="BodyText"/>
      </w:pPr>
      <w:r>
        <w:rPr>
          <w:bCs/>
          <w:b/>
        </w:rPr>
        <w:t xml:space="preserve">25. В целом переработаны внесены изменения нормы обеспечения огнетушителями объектов защиты в зависимости от их категорий по пожарной и взрывопожарной опасности и класса пожара (за исключением автозаправочных станций) (Приложение №1); нормы оснащения помещений передвижными огнетушителями (за исключением автозаправочных станций) (Приложение №2). При этом приложение № 1 признано не действующим со дня вступления решения суда в законную силу в части, не допускающей оснащение объектов с классом пожара «Е» воздушно-эмульсионными огнетушителями (</w:t>
      </w:r>
      <w:hyperlink r:id="rId23">
        <w:r>
          <w:rPr>
            <w:rStyle w:val="Hyperlink"/>
            <w:bCs/>
            <w:b/>
          </w:rPr>
          <w:t xml:space="preserve">Решение Верховного Суда Российской Федерации от 17 октября 2016 года № АКПИ16-607</w:t>
        </w:r>
      </w:hyperlink>
      <w:r>
        <w:rPr>
          <w:bCs/>
          <w:b/>
        </w:rPr>
        <w:t xml:space="preserve">).</w:t>
      </w:r>
    </w:p>
    <w:p>
      <w:pPr>
        <w:pStyle w:val="BodyText"/>
      </w:pPr>
      <w:r>
        <w:t xml:space="preserve">Со всеми остальными изменениями вы можете ознакомиться в постановлении 947 и комментариях МЧС.</w:t>
      </w:r>
    </w:p>
    <w:p>
      <w:pPr>
        <w:pStyle w:val="BodyText"/>
      </w:pPr>
      <w:hyperlink r:id="rId24">
        <w:r>
          <w:rPr>
            <w:rStyle w:val="Hyperlink"/>
          </w:rPr>
          <w:t xml:space="preserve">Правила противопожарного режима в Российской Федерации, утверждённые постановлением Правительства РФ от 25.04.2012 г. № 390 «О противопожарном режиме»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Комментарии МЧС к изменениям, вносимым в Правила противопожарного режима в Российской Федерации (постановление Правительства Российской Федерации от 20.09.2016 г. № 947)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http://chertanovo-juzhnoe.mos.ru/labour-protection/detail/6887388.html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labour-protection/detail/6887388.html" TargetMode="External" /><Relationship Type="http://schemas.openxmlformats.org/officeDocument/2006/relationships/hyperlink" Id="rId24" Target="https://drive.google.com/open?id=0B0s7UQk723c8WDVOT2p0UHRVVGs" TargetMode="External" /><Relationship Type="http://schemas.openxmlformats.org/officeDocument/2006/relationships/hyperlink" Id="rId25" Target="https://drive.google.com/open?id=0B0s7UQk723c8dV9YSW9fZ04zb0k" TargetMode="External" /><Relationship Type="http://schemas.openxmlformats.org/officeDocument/2006/relationships/hyperlink" Id="rId23" Target="https://xn----8sbbilafpyxcf8a.xn--p1ai/cr-go?url=https://sudrf.kodeks.ru/rospravo/document/42038356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labour-protection/detail/6887388.html" TargetMode="External" /><Relationship Type="http://schemas.openxmlformats.org/officeDocument/2006/relationships/hyperlink" Id="rId24" Target="https://drive.google.com/open?id=0B0s7UQk723c8WDVOT2p0UHRVVGs" TargetMode="External" /><Relationship Type="http://schemas.openxmlformats.org/officeDocument/2006/relationships/hyperlink" Id="rId25" Target="https://drive.google.com/open?id=0B0s7UQk723c8dV9YSW9fZ04zb0k" TargetMode="External" /><Relationship Type="http://schemas.openxmlformats.org/officeDocument/2006/relationships/hyperlink" Id="rId23" Target="https://xn----8sbbilafpyxcf8a.xn--p1ai/cr-go?url=https://sudrf.kodeks.ru/rospravo/document/42038356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2025-04-10T02:52:55Z</dcterms:created>
  <dcterms:modified xsi:type="dcterms:W3CDTF">2025-04-10T02:52:55Z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