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2dc33c0b580043000f353ec936f2a1859b44f2"/>
    <w:p>
      <w:pPr>
        <w:pStyle w:val="Heading3"/>
      </w:pPr>
      <w:r>
        <w:t xml:space="preserve">Более 7,6 млн сведений о кадастровой стоимости столичных объектов недвижимости актуализировано за последние 2 года</w:t>
      </w:r>
    </w:p>
    <w:p>
      <w:pPr>
        <w:pStyle w:val="FirstParagraph"/>
      </w:pPr>
      <w:r>
        <w:t xml:space="preserve">23.08.2024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Более 7,6 млн сведений о кадастровой стоимости столичных объектов недвижимости актуализировано за последние 2 года</w:t>
      </w:r>
    </w:p>
    <w:p>
      <w:pPr>
        <w:pStyle w:val="BodyText"/>
      </w:pPr>
      <w:r>
        <w:t xml:space="preserve">25 августа 2024 года в России отмечается 25-летие государственной кадастровой оценки (ГКО).</w:t>
      </w:r>
    </w:p>
    <w:p>
      <w:pPr>
        <w:pStyle w:val="BodyText"/>
      </w:pPr>
      <w:r>
        <w:rPr>
          <w:iCs/>
          <w:i/>
        </w:rPr>
        <w:t xml:space="preserve">«Кадастровая оценка играет важную роль в формировании рынка недвижимости. Внедрение новых технологий в рамках «Национальной системы пространственных данных» позволит собрать все данные на одной платформе и повысит качество оказания услуг для граждан, представителей бизнеса и органов власти. При этом уже сейчас благодаря успешному взаимодействию всех сторон процесса определения государственной кадастровой оценки удалось минимизировать количество объектов недвижимости, расположенных в Москве, без кадастровой стоимости»</w:t>
      </w:r>
      <w:r>
        <w:t xml:space="preserve">, – рассказал</w:t>
      </w:r>
      <w:r>
        <w:t xml:space="preserve"> </w:t>
      </w:r>
      <w:r>
        <w:rPr>
          <w:bCs/>
          <w:b/>
        </w:rPr>
        <w:t xml:space="preserve">руководитель Управления Росреестра по Москве Игорь Майданов.</w:t>
      </w:r>
    </w:p>
    <w:p>
      <w:pPr>
        <w:pStyle w:val="BodyText"/>
      </w:pPr>
      <w:r>
        <w:t xml:space="preserve">Развитие методов ГКО берет свое начало с момента подписания Владимиром Путиным Постановления Правительства РФ от 25.08.1999 г. № 945 «О государственной кадастровой оценке земель». В преддверии юбилейной даты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</w:t>
      </w:r>
      <w:r>
        <w:t xml:space="preserve"> </w:t>
      </w:r>
      <w:r>
        <w:t xml:space="preserve">рассказала о результатах внесения в ЕГРН сведений о кадастровой стоимости за последние годы.</w:t>
      </w:r>
    </w:p>
    <w:p>
      <w:pPr>
        <w:pStyle w:val="BodyText"/>
      </w:pPr>
      <w:r>
        <w:rPr>
          <w:iCs/>
          <w:i/>
        </w:rPr>
        <w:t xml:space="preserve">«За четверть века сфера государственной кадастровой оценки прошла путь от разработки методик определения стоимости до установления точной, справедливой и экономически обоснованной системы, служащей для исчисления налогов на недвижимость, -</w:t>
      </w:r>
      <w:r>
        <w:t xml:space="preserve"> </w:t>
      </w:r>
      <w:r>
        <w:t xml:space="preserve">сообщила</w:t>
      </w:r>
      <w:r>
        <w:t xml:space="preserve"> </w:t>
      </w:r>
      <w:r>
        <w:rPr>
          <w:bCs/>
          <w:b/>
        </w:rPr>
        <w:t xml:space="preserve">Елена Спиридонова</w:t>
      </w:r>
      <w:r>
        <w:rPr>
          <w:iCs/>
          <w:i/>
        </w:rPr>
        <w:t xml:space="preserve">. – Только за 2022 - 2023 годы, в столице актуализированы сведения о кадастровой стоимости более 7,3 млн объектов капитального строительства и почти 350 тысячах земельных участков. Совместная работа всех участников процесса государственной кадастровой оценки позволила сократить сроки определения кадастровой стоимости, а также способствовала развитию города».</w:t>
      </w:r>
    </w:p>
    <w:p>
      <w:pPr>
        <w:pStyle w:val="BodyText"/>
      </w:pPr>
      <w:r>
        <w:t xml:space="preserve">Добавим, что в столице определением кадастровой стоимости объектов недвижимости занимается ГБУ г. Москвы «Центр имущественных платежей». Филиал ППК «Роскадастр» по Москве в свою очередь направляет в бюджетное учреждение перечни вновь учтенных и измененных объектов недвижимости для определения их кадастровой стоимости.</w:t>
      </w:r>
    </w:p>
    <w:p>
      <w:pPr>
        <w:pStyle w:val="BodyText"/>
      </w:pPr>
      <w:r>
        <w:t xml:space="preserve">Узнать кадастровую стоимость объекта недвижимости можно заказав соответствующую выписку из ЕГРН или посредством сервиса</w:t>
      </w:r>
      <w:r>
        <w:t xml:space="preserve"> </w:t>
      </w:r>
      <w:hyperlink r:id="rId20">
        <w:r>
          <w:rPr>
            <w:rStyle w:val="Hyperlink"/>
          </w:rPr>
          <w:t xml:space="preserve">«Публичная кадастровая карта»</w:t>
        </w:r>
      </w:hyperlink>
      <w:r>
        <w:t xml:space="preserve"> </w:t>
      </w:r>
      <w:r>
        <w:rPr>
          <w:u w:val="single"/>
        </w:rPr>
        <w:t xml:space="preserve">или «</w:t>
      </w:r>
      <w:hyperlink r:id="rId21">
        <w:r>
          <w:rPr>
            <w:rStyle w:val="Hyperlink"/>
          </w:rPr>
          <w:t xml:space="preserve">Справочная информация по объектам недвижимости в режиме online»</w:t>
        </w:r>
      </w:hyperlink>
      <w:r>
        <w:rPr>
          <w:u w:val="single"/>
        </w:rPr>
        <w:t xml:space="preserve">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2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http://chertanovo-juzhnoe.mos.ru/kadastrovaya-palata/detail/12532612.html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kadastrovaya-palata/detail/12532612.html" TargetMode="External" /><Relationship Type="http://schemas.openxmlformats.org/officeDocument/2006/relationships/hyperlink" Id="rId23" Target="https://kadastr.ru/" TargetMode="External" /><Relationship Type="http://schemas.openxmlformats.org/officeDocument/2006/relationships/hyperlink" Id="rId21" Target="https://lk.rosreestr.ru/eservices/real-estate-objects-online" TargetMode="External" /><Relationship Type="http://schemas.openxmlformats.org/officeDocument/2006/relationships/hyperlink" Id="rId20" Target="https://pkk.rosreestr.ru/" TargetMode="External" /><Relationship Type="http://schemas.openxmlformats.org/officeDocument/2006/relationships/hyperlink" Id="rId22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kadastrovaya-palata/detail/12532612.html" TargetMode="External" /><Relationship Type="http://schemas.openxmlformats.org/officeDocument/2006/relationships/hyperlink" Id="rId23" Target="https://kadastr.ru/" TargetMode="External" /><Relationship Type="http://schemas.openxmlformats.org/officeDocument/2006/relationships/hyperlink" Id="rId21" Target="https://lk.rosreestr.ru/eservices/real-estate-objects-online" TargetMode="External" /><Relationship Type="http://schemas.openxmlformats.org/officeDocument/2006/relationships/hyperlink" Id="rId20" Target="https://pkk.rosreestr.ru/" TargetMode="External" /><Relationship Type="http://schemas.openxmlformats.org/officeDocument/2006/relationships/hyperlink" Id="rId22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2024-11-12T23:24:16Z</dcterms:created>
  <dcterms:modified xsi:type="dcterms:W3CDTF">2024-11-12T23:24:16Z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