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зданию-верховного-суда-уточнили-границы"/>
    <w:p>
      <w:pPr>
        <w:pStyle w:val="Heading3"/>
      </w:pPr>
      <w:r>
        <w:t xml:space="preserve">Зданию Верховного Суда уточнили границы</w:t>
      </w:r>
    </w:p>
    <w:p>
      <w:pPr>
        <w:pStyle w:val="FirstParagraph"/>
      </w:pPr>
      <w:r>
        <w:t xml:space="preserve">01.08.2024</w:t>
      </w:r>
    </w:p>
    <w:p>
      <w:pPr>
        <w:pStyle w:val="BodyText"/>
      </w:pPr>
      <w:r>
        <w:t xml:space="preserve">Управлением Росреестра по Москве в Единый государственный реестр недвижимости (ЕГРН) внесены уточненные границы комплекса зданий Верховного Суда Российской Федерации по адресу ул. Поварская, д. 15с1. Об этом сообщил</w:t>
      </w:r>
      <w:r>
        <w:t xml:space="preserve"> </w:t>
      </w:r>
      <w:r>
        <w:rPr>
          <w:bCs/>
          <w:b/>
        </w:rPr>
        <w:t xml:space="preserve">руководитель Управления Росреестра по Москве Игорь Майданов.</w:t>
      </w:r>
    </w:p>
    <w:p>
      <w:pPr>
        <w:pStyle w:val="BodyText"/>
      </w:pPr>
      <w:r>
        <w:t xml:space="preserve">Комплекс Верховного Суда РФ относится к объектам культурного наследия столицы и расположен в центре плотной исторической застройки — с разных сторон к нему прилегают знаменитый «Дом со львами» на Малой Молчановке, главный дом городской усадьбы Чернова и доходный дом Стуловых.</w:t>
      </w:r>
    </w:p>
    <w:p>
      <w:pPr>
        <w:pStyle w:val="BodyText"/>
      </w:pPr>
      <w:r>
        <w:rPr>
          <w:iCs/>
          <w:i/>
        </w:rPr>
        <w:t xml:space="preserve">«Основной трехэтажный корпус, построенный специально для Верховного Суда СССР, в 90-х подвергся капитальной реконструкции и был дополнен многоэтажным зданием-башней. Поэтому при уточнении границ памятника и осуществлении кадастрового учета необходимо было не только правильно провести полевые геодезические работы, но и тщательно проверить все документы, абрисы и технические планы, составленные в разные промежутки времени. Внесенная в ЕГРН точная информация о границах контура здания позволила привязать комплекс построек к существующим земельным участкам и в дальнейшем уточнить новую охранную зону для сохранения целостности объекта»,</w:t>
      </w:r>
      <w:r>
        <w:t xml:space="preserve"> </w:t>
      </w:r>
      <w:r>
        <w:t xml:space="preserve">— рассказал</w:t>
      </w:r>
      <w:r>
        <w:t xml:space="preserve"> </w:t>
      </w:r>
      <w:r>
        <w:rPr>
          <w:bCs/>
          <w:b/>
        </w:rPr>
        <w:t xml:space="preserve">Игорь Майданов.</w:t>
      </w:r>
    </w:p>
    <w:p>
      <w:pPr>
        <w:pStyle w:val="BodyText"/>
      </w:pPr>
      <w:r>
        <w:t xml:space="preserve">В рамках сотрудничества московских Росреестра и Роскадастра с Верховным Судом по системе межведомственного взаимодействия органу юстиции предоставляются сведения из ЕГРН, а также оказываются консультации по вопросам кадастрового учета, перехода прав и учетно-регистрационных действий в отношении недвижимости.</w:t>
      </w:r>
    </w:p>
    <w:p>
      <w:pPr>
        <w:pStyle w:val="BodyText"/>
      </w:pPr>
      <w:r>
        <w:rPr>
          <w:iCs/>
          <w:i/>
        </w:rPr>
        <w:t xml:space="preserve">«С наделением Роскадастра полномочиями по проведению кадастровых и землеустроительных работ, наше сотрудничество с Верховным судом РФ вышло на новый уровень. Для нас было крайне важно помочь высшему судебному органу получить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«под ключ»</w:t>
      </w:r>
      <w:r>
        <w:rPr>
          <w:iCs/>
          <w:i/>
        </w:rPr>
        <w:t xml:space="preserve"> </w:t>
      </w:r>
      <w:r>
        <w:rPr>
          <w:iCs/>
          <w:i/>
        </w:rPr>
        <w:t xml:space="preserve">качественные кадастровые услуги и оформить свои права в надлежащем виде. Так, экспертами Роскадастра были уточнены границы здания Верховного суда РФ, что позволило избежать споров с правообладателями соседних объектов недвижимости,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</w:t>
      </w:r>
      <w:r>
        <w:rPr>
          <w:iCs/>
          <w:i/>
        </w:rPr>
        <w:t xml:space="preserve">. – Как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предприятие полного цикла</w:t>
      </w:r>
      <w:r>
        <w:rPr>
          <w:iCs/>
          <w:i/>
        </w:rPr>
        <w:t xml:space="preserve">, мы обеспечиваем выполнение всего комплекса работ в сфере недвижимости не только для нужд государства, но и для граждан».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 23-33)</w:t>
      </w:r>
    </w:p>
    <w:p>
      <w:pPr>
        <w:pStyle w:val="BodyText"/>
      </w:pPr>
      <w:hyperlink r:id="rId20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http://chertanovo-juzhnoe.mos.ru/kadastrovaya-palata/detail/12501962.html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kadastrovaya-palata/detail/12501962.html" TargetMode="External" /><Relationship Type="http://schemas.openxmlformats.org/officeDocument/2006/relationships/hyperlink" Id="rId21" Target="https://kadastr.ru/" TargetMode="External" /><Relationship Type="http://schemas.openxmlformats.org/officeDocument/2006/relationships/hyperlink" Id="rId20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kadastrovaya-palata/detail/12501962.html" TargetMode="External" /><Relationship Type="http://schemas.openxmlformats.org/officeDocument/2006/relationships/hyperlink" Id="rId21" Target="https://kadastr.ru/" TargetMode="External" /><Relationship Type="http://schemas.openxmlformats.org/officeDocument/2006/relationships/hyperlink" Id="rId20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2025-02-28T10:49:34Z</dcterms:created>
  <dcterms:modified xsi:type="dcterms:W3CDTF">2025-02-28T10:49:34Z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