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четчики-воды---мифы-и-реальность"/>
    <w:p>
      <w:pPr>
        <w:pStyle w:val="Heading3"/>
      </w:pPr>
      <w:r>
        <w:t xml:space="preserve">Счетчики воды - мифы и реальность!</w:t>
      </w:r>
    </w:p>
    <w:p>
      <w:pPr>
        <w:pStyle w:val="FirstParagraph"/>
      </w:pPr>
      <w:r>
        <w:t xml:space="preserve">29.11.2016</w:t>
      </w:r>
    </w:p>
    <w:p>
      <w:pPr>
        <w:pStyle w:val="BodyText"/>
      </w:pPr>
      <w:r>
        <w:drawing>
          <wp:inline>
            <wp:extent cx="5334000" cy="74032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8d/novyy-risun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03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http://chertanovo-juzhnoe.mos.ru/housing-and-communal-services-and-improvement/news-housing/detail/4314327.html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4314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4314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2025-05-18T18:18:05Z</dcterms:created>
  <dcterms:modified xsi:type="dcterms:W3CDTF">2025-05-18T18:18:05Z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