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1bab6c6e1a185edb1b6cafdf3b6264d4eda644"/>
    <w:p>
      <w:pPr>
        <w:pStyle w:val="Heading3"/>
      </w:pPr>
      <w:r>
        <w:t xml:space="preserve">Уважаемые москвичи - с июня 2016 года изменится информация о финансовом операторе платежей за жилищно-коммунальные услуги</w:t>
      </w:r>
    </w:p>
    <w:p>
      <w:pPr>
        <w:pStyle w:val="FirstParagraph"/>
      </w:pPr>
      <w:r>
        <w:t xml:space="preserve">27.04.2016</w:t>
      </w:r>
    </w:p>
    <w:p>
      <w:pPr>
        <w:pStyle w:val="BodyText"/>
      </w:pPr>
      <w:r>
        <w:t xml:space="preserve">С ИЮНЯ 2016 года в связи с реорганизацией ОАО «Банк Москвы» в Едином платежном документе изменится информация о финансовом операторе платежей за жилищно-коммунальные услуги.</w:t>
      </w:r>
    </w:p>
    <w:p>
      <w:pPr>
        <w:pStyle w:val="BodyText"/>
      </w:pPr>
      <w:r>
        <w:t xml:space="preserve">С 10 мая функции финансового оператора системы ЕИРЦ будут переданы от ОАО «Банк Москвы» в Банк ВТБ. Соответственно, в едином платежном документе за ИЮНЬ в строке «Счет по сбору платежей за ЖКУ и прочие услуги района (название района) будут указаны следующие реквизиты:</w:t>
      </w:r>
    </w:p>
    <w:p>
      <w:pPr>
        <w:pStyle w:val="BodyText"/>
      </w:pPr>
      <w:r>
        <w:t xml:space="preserve">наименование – филиал «Центральный» Банка ВТБ (ПАО);</w:t>
      </w:r>
    </w:p>
    <w:p>
      <w:pPr>
        <w:pStyle w:val="BodyText"/>
      </w:pPr>
      <w:r>
        <w:t xml:space="preserve">номер корреспондентского счета – 30101810145250000411;</w:t>
      </w:r>
    </w:p>
    <w:p>
      <w:pPr>
        <w:pStyle w:val="BodyText"/>
      </w:pPr>
      <w:r>
        <w:t xml:space="preserve">номер банковского идентификационного кода (БИК) – 044525411;</w:t>
      </w:r>
    </w:p>
    <w:p>
      <w:pPr>
        <w:pStyle w:val="BodyText"/>
      </w:pPr>
      <w:r>
        <w:t xml:space="preserve">идентификационный номер налогоплательщика (ИНН) – 7702070139.</w:t>
      </w:r>
    </w:p>
    <w:p>
      <w:pPr>
        <w:pStyle w:val="BodyText"/>
      </w:pPr>
      <w:r>
        <w:rPr>
          <w:bCs/>
          <w:b/>
        </w:rPr>
        <w:t xml:space="preserve">Обращаем ваше внимание, что Единые платежные документы с новыми реквизитами являются подлинными и подлежат своевременной оплате.</w:t>
      </w:r>
    </w:p>
    <w:p>
      <w:pPr>
        <w:pStyle w:val="BodyText"/>
      </w:pPr>
      <w:r>
        <w:t xml:space="preserve">Единый платежный документ с новой информацией (выделена)</w:t>
      </w:r>
    </w:p>
    <w:p>
      <w:pPr>
        <w:pStyle w:val="BodyText"/>
      </w:pPr>
      <w:r>
        <w:drawing>
          <wp:inline>
            <wp:extent cx="5334000" cy="356815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b5/aaaaa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81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Обращаем ваше внимание, что в Едином платежном документе изменится информация о получателе денежных средств и его реквизитах.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http://chertanovo-juzhnoe.mos.ru/housing-and-communal-services-and-improvement/news-housing/detail/2861183.html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8611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8611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2025-04-10T02:44:03Z</dcterms:created>
  <dcterms:modified xsi:type="dcterms:W3CDTF">2025-04-10T02:44:03Z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