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d25279ec0324ad8c0d7196154d303d9b175d9dd"/>
    <w:p>
      <w:pPr>
        <w:pStyle w:val="Heading3"/>
      </w:pPr>
      <w:r>
        <w:t xml:space="preserve">Объем средств на благоустройство районов Москвы вырастет в 2 раза 21.03.2016</w:t>
      </w:r>
    </w:p>
    <w:p>
      <w:pPr>
        <w:pStyle w:val="FirstParagraph"/>
      </w:pPr>
      <w:r>
        <w:t xml:space="preserve">21.03.2016</w:t>
      </w:r>
    </w:p>
    <w:p>
      <w:pPr>
        <w:pStyle w:val="BodyText"/>
      </w:pPr>
      <w:r>
        <w:t xml:space="preserve">В марте 2016 года районы столицы получат очередной транш средств стимулирования от платных парковок, НДФЛ с аренды жилья и патентов для индивидуальных предпринимателей. Об этом 15 марта на заседании Президиума Правительства Москвы сообщила заместитель мэра Москвы Наталья Сергунина.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Средства в размере 1,25 млрд рублей будут направлены в районы в середине марта. Это деньги, которые сами районы заработали в виде поступлений от патентной системы налогообложения, платных парковок и налогов на доходы физических лиц, сдающих жилые помещения в аренду. Общий объем средств стимулирования управ составит в 2016 году 6,2 млрд рублей. Почти 5 млрд рублей были доведены до управ районов еще в начале января, чтобы они могли заблаговременно планировать решение важнейших задач по благоустройству. На текущий момент средства распределены, все объекты благоустройства согласованы муниципальными депутатами с учетом мнения жителей. Управы районов уже приступили к конкурсным процедурам по отбору подрядчиков.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с 2016 года вступил в силу новый порядок доведения средств стимулирования до управ районов. Согласно ему, был увеличен объем финансирования управ за счет средств стимулирования, а округам предоставлена большая свобода в части использования этих средств за счет расширения круга мероприятий, на реализацию которых они могут быть направлены. В числе новых направлений расходования - приведение в порядок парков и улиц, адаптация городской среды для маломобильных групп населения.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Справочно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2013 года управы районов Москвы получают дополнительные бюджетные ассигнования - средства стимулирования. Таким образом поощряется их участие в работе по наполнению бюджета и финансовому обеспечению развития районов.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объем средств формируется из доходов от НДФЛ, уплачиваемого при сдаче в аренду помещений, от налога, взимаемого в связи с применением патентной системы налогообложения и от сбора платы за парковку. Они направляются управами районов по согласованию с Советами депутатов муниципальных округов на реализацию мероприятий по благоустройству районных территорий.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счет средств финансового стимулирования районов, выделенных в 2015 году, осуществлены мероприятия по благоустройству более 2000 дворовых территорий, произведен капитальный ремонт порядка 500 многоквартирных домов, выполнены работы по повышению пешеходной доступности станций метро.</w:t>
      </w:r>
    </w:p>
    <w:p>
      <w:pPr>
        <w:pStyle w:val="BodyText"/>
      </w:pPr>
      <w:r>
        <w:drawing>
          <wp:inline>
            <wp:extent cx="5334000" cy="37764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10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7647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dd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7647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89/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Проведение работ по благоустройству дворовых территории в Чертаново Южное в 2016 году.</w:t>
      </w:r>
    </w:p>
    <w:p>
      <w:pPr>
        <w:pStyle w:val="BodyText"/>
      </w:pPr>
      <w:r>
        <w:t xml:space="preserve">1.Работы будут выполнены на</w:t>
      </w:r>
      <w:r>
        <w:t xml:space="preserve"> </w:t>
      </w:r>
      <w:r>
        <w:rPr>
          <w:bCs/>
          <w:b/>
        </w:rPr>
        <w:t xml:space="preserve">17 адресах.</w:t>
      </w:r>
    </w:p>
    <w:p>
      <w:pPr>
        <w:pStyle w:val="BodyText"/>
      </w:pPr>
      <w:r>
        <w:rPr>
          <w:bCs/>
          <w:b/>
        </w:rPr>
        <w:t xml:space="preserve">сумма 46 050,23 тыс.руб.</w:t>
      </w:r>
    </w:p>
    <w:p>
      <w:pPr>
        <w:pStyle w:val="BodyText"/>
      </w:pPr>
      <w:r>
        <w:t xml:space="preserve">2. Площадка для выгула собак</w:t>
      </w:r>
      <w:r>
        <w:t xml:space="preserve"> </w:t>
      </w:r>
      <w:r>
        <w:rPr>
          <w:bCs/>
          <w:b/>
        </w:rPr>
        <w:t xml:space="preserve">( 3-й Дорожный проезд, д.1.)</w:t>
      </w:r>
    </w:p>
    <w:p>
      <w:pPr>
        <w:pStyle w:val="BodyText"/>
      </w:pPr>
      <w:r>
        <w:rPr>
          <w:bCs/>
          <w:b/>
        </w:rPr>
        <w:t xml:space="preserve">1.000.000 руб ( входит установка маф)</w:t>
      </w:r>
    </w:p>
    <w:p>
      <w:pPr>
        <w:pStyle w:val="BodyText"/>
      </w:pPr>
      <w:r>
        <w:t xml:space="preserve">3. Новая спортивная площадка</w:t>
      </w:r>
      <w:r>
        <w:t xml:space="preserve"> </w:t>
      </w:r>
      <w:r>
        <w:rPr>
          <w:bCs/>
          <w:b/>
        </w:rPr>
        <w:t xml:space="preserve">( ул.Чертановская, 58-2)</w:t>
      </w:r>
    </w:p>
    <w:p>
      <w:pPr>
        <w:pStyle w:val="BodyText"/>
      </w:pPr>
      <w:r>
        <w:rPr>
          <w:bCs/>
          <w:b/>
        </w:rPr>
        <w:t xml:space="preserve">3.000.000 руб</w:t>
      </w:r>
    </w:p>
    <w:p>
      <w:pPr>
        <w:pStyle w:val="BodyText"/>
      </w:pPr>
      <w:r>
        <w:t xml:space="preserve">4.Сквер д.131,корп.1-4.</w:t>
      </w:r>
    </w:p>
    <w:p>
      <w:pPr>
        <w:pStyle w:val="BodyText"/>
      </w:pPr>
      <w:r>
        <w:rPr>
          <w:bCs/>
          <w:b/>
        </w:rPr>
        <w:t xml:space="preserve">23.504.60 руб</w:t>
      </w:r>
    </w:p>
    <w:p>
      <w:pPr>
        <w:pStyle w:val="BodyText"/>
      </w:pPr>
      <w:r>
        <w:t xml:space="preserve">5. Ремонт АБП на 12 адресах</w:t>
      </w:r>
      <w:r>
        <w:t xml:space="preserve"> </w:t>
      </w:r>
      <w:r>
        <w:rPr>
          <w:bCs/>
          <w:b/>
        </w:rPr>
        <w:t xml:space="preserve">(общая площадь составит</w:t>
      </w:r>
    </w:p>
    <w:p>
      <w:pPr>
        <w:pStyle w:val="BodyText"/>
      </w:pPr>
      <w:r>
        <w:rPr>
          <w:bCs/>
          <w:b/>
        </w:rPr>
        <w:t xml:space="preserve">27 907,25 кв.м.) 17.037.000 руб</w:t>
      </w:r>
    </w:p>
    <w:p>
      <w:pPr>
        <w:pStyle w:val="BodyText"/>
      </w:pPr>
      <w:r>
        <w:t xml:space="preserve">6. Виды работ на 2016 год.</w:t>
      </w:r>
    </w:p>
    <w:p>
      <w:pPr>
        <w:pStyle w:val="BodyText"/>
      </w:pPr>
      <w:r>
        <w:rPr>
          <w:bCs/>
          <w:b/>
        </w:rPr>
        <w:t xml:space="preserve">1.установка садового камня</w:t>
      </w:r>
    </w:p>
    <w:p>
      <w:pPr>
        <w:pStyle w:val="BodyText"/>
      </w:pPr>
      <w:r>
        <w:rPr>
          <w:bCs/>
          <w:b/>
        </w:rPr>
        <w:t xml:space="preserve">2.установка нового ограждения</w:t>
      </w:r>
    </w:p>
    <w:p>
      <w:pPr>
        <w:pStyle w:val="BodyText"/>
      </w:pPr>
      <w:r>
        <w:rPr>
          <w:bCs/>
          <w:b/>
        </w:rPr>
        <w:t xml:space="preserve">3. устройства контейнерной площадки</w:t>
      </w:r>
    </w:p>
    <w:p>
      <w:pPr>
        <w:pStyle w:val="BodyText"/>
      </w:pPr>
      <w:r>
        <w:rPr>
          <w:bCs/>
          <w:b/>
        </w:rPr>
        <w:t xml:space="preserve">4.установка лавочек</w:t>
      </w:r>
    </w:p>
    <w:p>
      <w:pPr>
        <w:pStyle w:val="BodyText"/>
      </w:pPr>
      <w:r>
        <w:rPr>
          <w:bCs/>
          <w:b/>
        </w:rPr>
        <w:t xml:space="preserve">5.урны</w:t>
      </w:r>
    </w:p>
    <w:p>
      <w:pPr>
        <w:pStyle w:val="BodyText"/>
      </w:pPr>
      <w:r>
        <w:rPr>
          <w:bCs/>
          <w:b/>
        </w:rPr>
        <w:t xml:space="preserve">6.цветочное оформление</w:t>
      </w:r>
    </w:p>
    <w:p>
      <w:pPr>
        <w:pStyle w:val="BodyText"/>
      </w:pPr>
      <w:r>
        <w:rPr>
          <w:bCs/>
          <w:b/>
        </w:rPr>
        <w:t xml:space="preserve">7.установка торшеров</w:t>
      </w:r>
    </w:p>
    <w:p>
      <w:pPr>
        <w:pStyle w:val="BodyText"/>
      </w:pPr>
      <w:r>
        <w:rPr>
          <w:bCs/>
          <w:b/>
        </w:rPr>
        <w:t xml:space="preserve">8. Арка ( вход в сквер)</w:t>
      </w:r>
    </w:p>
    <w:p>
      <w:pPr>
        <w:pStyle w:val="BodyText"/>
      </w:pPr>
      <w:r>
        <w:t xml:space="preserve">Прочие работы:</w:t>
      </w:r>
      <w:r>
        <w:t xml:space="preserve"> </w:t>
      </w:r>
      <w:r>
        <w:rPr>
          <w:bCs/>
          <w:b/>
        </w:rPr>
        <w:t xml:space="preserve">3.000.000 руб.</w:t>
      </w:r>
    </w:p>
    <w:p>
      <w:pPr>
        <w:pStyle w:val="BodyText"/>
      </w:pPr>
    </w:p>
    <w:p>
      <w:pPr>
        <w:pStyle w:val="BodyText"/>
      </w:pPr>
      <w:r>
        <w:rPr>
          <w:bCs/>
          <w:b/>
          <w:bCs/>
          <w:b/>
        </w:rPr>
        <w:t xml:space="preserve">С более подробной информацией по данной теме вы можете ознакомиться по ссылке на официальный раздел сайта органов местного самоуправления Муниципального округа Чертаново Южное</w:t>
      </w:r>
    </w:p>
    <w:bookmarkStart w:id="31" w:name="entryID477"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hyperlink r:id="rId29"/>
          </w:p>
          <w:p>
            <w:pPr>
              <w:pStyle w:val="Heading1"/>
              <w:jc w:val="left"/>
            </w:pPr>
            <w:bookmarkStart w:id="30" w:name="решение-от-03.03.2016-01-03-1816"/>
            <w:r>
              <w:t xml:space="preserve">Решение от 03.03.2016 № 01-03-18/16</w:t>
            </w:r>
            <w:bookmarkEnd w:id="30"/>
          </w:p>
          <w:p>
            <w:pPr>
              <w:jc w:val="left"/>
            </w:pPr>
            <w:r>
              <w:rPr>
                <w:bCs/>
                <w:b/>
              </w:rPr>
              <w:t xml:space="preserve">О внесении изменений в решение Совета депутатов муниципального округа Чертаново Южное от 18 декабря 2015 года № 01-03-96/15</w:t>
            </w:r>
          </w:p>
        </w:tc>
      </w:tr>
    </w:tbl>
    <w:p>
      <w:pPr>
        <w:pStyle w:val="BodyText"/>
      </w:pPr>
      <w:r>
        <w:br/>
      </w:r>
    </w:p>
    <w:bookmarkEnd w:id="31"/>
    <w:bookmarkStart w:id="34" w:name="entryID476"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hyperlink r:id="rId32"/>
          </w:p>
          <w:p>
            <w:pPr>
              <w:pStyle w:val="Heading1"/>
              <w:jc w:val="left"/>
            </w:pPr>
            <w:bookmarkStart w:id="33" w:name="решение-от-03.03.2016-01-03-1716"/>
            <w:r>
              <w:t xml:space="preserve">Решение от 03.03.2016 № 01-03-17/16</w:t>
            </w:r>
            <w:bookmarkEnd w:id="33"/>
          </w:p>
          <w:p>
            <w:pPr>
              <w:jc w:val="left"/>
            </w:pPr>
            <w:r>
              <w:rPr>
                <w:bCs/>
                <w:b/>
              </w:rPr>
              <w:t xml:space="preserve">О согласовании реализации мероприятий за счет средств стимулирования управ района Чертаново Южное в 2016 году</w:t>
            </w:r>
          </w:p>
        </w:tc>
      </w:tr>
    </w:tbl>
    <w:bookmarkEnd w:id="34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http://chertanovo-juzhnoe.mos.ru/housing-and-communal-services-and-improvement/news-housing/detail/2627771.html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6" Target="http://chertanovo-juzhnoe.mos.ru" TargetMode="External" /><Relationship Type="http://schemas.openxmlformats.org/officeDocument/2006/relationships/hyperlink" Id="rId35" Target="http://chertanovo-juzhnoe.mos.ru/housing-and-communal-services-and-improvement/news-housing/detail/2627771.html" TargetMode="External" /><Relationship Type="http://schemas.openxmlformats.org/officeDocument/2006/relationships/hyperlink" Id="rId32" Target="http://vmo-chu.ru/publ/reshenija_soveta_deputatov/reshenija_soveta_deputatov/reshenie_ot_03_03_2016_01_03_17_16/41-1-0-476" TargetMode="External" /><Relationship Type="http://schemas.openxmlformats.org/officeDocument/2006/relationships/hyperlink" Id="rId29" Target="http://vmo-chu.ru/publ/reshenija_soveta_deputatov/reshenija_soveta_deputatov/reshenie_ot_03_03_2016_01_03_18_16/41-1-0-4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chertanovo-juzhnoe.mos.ru" TargetMode="External" /><Relationship Type="http://schemas.openxmlformats.org/officeDocument/2006/relationships/hyperlink" Id="rId35" Target="http://chertanovo-juzhnoe.mos.ru/housing-and-communal-services-and-improvement/news-housing/detail/2627771.html" TargetMode="External" /><Relationship Type="http://schemas.openxmlformats.org/officeDocument/2006/relationships/hyperlink" Id="rId32" Target="http://vmo-chu.ru/publ/reshenija_soveta_deputatov/reshenija_soveta_deputatov/reshenie_ot_03_03_2016_01_03_17_16/41-1-0-476" TargetMode="External" /><Relationship Type="http://schemas.openxmlformats.org/officeDocument/2006/relationships/hyperlink" Id="rId29" Target="http://vmo-chu.ru/publ/reshenija_soveta_deputatov/reshenija_soveta_deputatov/reshenie_ot_03_03_2016_01_03_18_16/41-1-0-4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2025-04-10T02:43:46Z</dcterms:created>
  <dcterms:modified xsi:type="dcterms:W3CDTF">2025-04-10T02:43:46Z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