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46804441b621d08dce7c4ed8c2d265d8769103f"/>
    <w:p>
      <w:pPr>
        <w:pStyle w:val="Heading3"/>
      </w:pPr>
      <w:r>
        <w:t xml:space="preserve">Как получить перерасчет за временное отсутствие</w:t>
      </w:r>
    </w:p>
    <w:p>
      <w:pPr>
        <w:pStyle w:val="FirstParagraph"/>
      </w:pPr>
      <w:r>
        <w:t xml:space="preserve">03.12.2015</w:t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7f5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d53/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http://chertanovo-juzhnoe.mos.ru/housing-and-communal-services-and-improvement/news-housing/detail/2345854.html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housing-and-communal-services-and-improvement/news-housing/detail/23458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housing-and-communal-services-and-improvement/news-housing/detail/23458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2025-04-10T02:43:03Z</dcterms:created>
  <dcterms:modified xsi:type="dcterms:W3CDTF">2025-04-10T02:43:03Z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