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азбука-для-потребителей-услуг-жкх"/>
    <w:p>
      <w:pPr>
        <w:pStyle w:val="Heading3"/>
      </w:pPr>
      <w:r>
        <w:t xml:space="preserve">Азбука для потребителей услуг ЖКХ</w:t>
      </w:r>
    </w:p>
    <w:p>
      <w:pPr>
        <w:pStyle w:val="FirstParagraph"/>
      </w:pPr>
      <w:r>
        <w:t xml:space="preserve">17.11.2015</w:t>
      </w:r>
    </w:p>
    <w:p>
      <w:pPr>
        <w:pStyle w:val="BodyText"/>
      </w:pPr>
      <w:hyperlink r:id="rId20">
        <w:r>
          <w:rPr>
            <w:rStyle w:val="Hyperlink"/>
          </w:rPr>
          <w:t xml:space="preserve">Азбука ЖКХ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http://chertanovo-juzhnoe.mos.ru/housing-and-communal-services-and-improvement/news-housing/detail/2306045.html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2306045.html" TargetMode="External" /><Relationship Type="http://schemas.openxmlformats.org/officeDocument/2006/relationships/hyperlink" Id="rId20" Target="https://yadi.sk/i/J14S4UcLkWkGj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2306045.html" TargetMode="External" /><Relationship Type="http://schemas.openxmlformats.org/officeDocument/2006/relationships/hyperlink" Id="rId20" Target="https://yadi.sk/i/J14S4UcLkWkG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2025-04-10T02:42:48Z</dcterms:created>
  <dcterms:modified xsi:type="dcterms:W3CDTF">2025-04-10T02:42:48Z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