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47313300b4dfea0bc2880379c119e0393b9393b"/>
    <w:p>
      <w:pPr>
        <w:pStyle w:val="Heading3"/>
      </w:pPr>
      <w:r>
        <w:t xml:space="preserve">За услугами ЖКХ удобно ходить на PGU.MOS.RU</w:t>
      </w:r>
    </w:p>
    <w:p>
      <w:pPr>
        <w:pStyle w:val="FirstParagraph"/>
      </w:pPr>
      <w:r>
        <w:t xml:space="preserve">29.10.2015</w:t>
      </w:r>
    </w:p>
    <w:p>
      <w:pPr>
        <w:pStyle w:val="BodyText"/>
      </w:pPr>
      <w:r>
        <w:drawing>
          <wp:inline>
            <wp:extent cx="4572000" cy="323088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3e5/plakat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2308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http://chertanovo-juzhnoe.mos.ru/housing-and-communal-services-and-improvement/news-housing/detail/2264549.html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housing-and-communal-services-and-improvement/news-housing/detail/226454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housing-and-communal-services-and-improvement/news-housing/detail/226454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2025-04-10T02:42:48Z</dcterms:created>
  <dcterms:modified xsi:type="dcterms:W3CDTF">2025-04-10T02:42:48Z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