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что-будет-если-не-платить-за-коммуналку"/>
    <w:p>
      <w:pPr>
        <w:pStyle w:val="Heading3"/>
      </w:pPr>
      <w:r>
        <w:t xml:space="preserve">Что будет если не платить за "коммуналку"?</w:t>
      </w:r>
    </w:p>
    <w:p>
      <w:pPr>
        <w:pStyle w:val="FirstParagraph"/>
      </w:pPr>
      <w:r>
        <w:t xml:space="preserve">02.10.2015</w:t>
      </w:r>
    </w:p>
    <w:p>
      <w:pPr>
        <w:pStyle w:val="BodyText"/>
      </w:pPr>
      <w:r>
        <w:drawing>
          <wp:inline>
            <wp:extent cx="5334000" cy="74924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48/infa-po-zadolzhn-za-zhk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92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9b1/zhku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http://chertanovo-juzhnoe.mos.ru/housing-and-communal-services-and-improvement/news-housing/detail/2199968.html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housing-and-communal-services-and-improvement/news-housing/detail/21999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tanovo-juzhnoe.mos.ru" TargetMode="External" /><Relationship Type="http://schemas.openxmlformats.org/officeDocument/2006/relationships/hyperlink" Id="rId26" Target="http://chertanovo-juzhnoe.mos.ru/housing-and-communal-services-and-improvement/news-housing/detail/21999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2025-04-10T02:42:34Z</dcterms:created>
  <dcterms:modified xsi:type="dcterms:W3CDTF">2025-04-10T02:42:34Z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