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9e6431623ed25baa870fb7948d5542a06b3521"/>
    <w:p>
      <w:pPr>
        <w:pStyle w:val="Heading3"/>
      </w:pPr>
      <w:r>
        <w:t xml:space="preserve">Об обязанностях по оплате взносов на капитальный ремонт</w:t>
      </w:r>
    </w:p>
    <w:p>
      <w:pPr>
        <w:pStyle w:val="FirstParagraph"/>
      </w:pPr>
      <w:r>
        <w:t xml:space="preserve">04.03.2024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http://chertanovo-juzhnoe.mos.ru/housing-and-communal-services-and-improvement/news-housing/detail/12204432.html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housing-and-communal-services-and-improvement/news-housing/detail/1220443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housing-and-communal-services-and-improvement/news-housing/detail/1220443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2025-04-10T01:48:49Z</dcterms:created>
  <dcterms:modified xsi:type="dcterms:W3CDTF">2025-04-10T01:48:49Z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