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1494150dcdd173868c2ce5a5a251f5574a3073"/>
    <w:p>
      <w:pPr>
        <w:pStyle w:val="Heading3"/>
      </w:pPr>
      <w:r>
        <w:t xml:space="preserve">Объявлен отбор заявок на предоставление грантов юридическим лицам и индивидуальным предпринимателям, осуществившим зимнее оформление коммерческих помещений в городе Москве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t xml:space="preserve">Департаментом предпринимательства и инновационного развития города Москвы (далее – Департамент) в рамках реализации Порядка предоставления грантов из бюджета города Москвы в целях поощрения юридических лиц и индивидуальных предпринимателей, осуществивших праздничное и тематическое оформление нежилых объектов в городе Москве, утвержденного постановлением Правительства Москвы</w:t>
      </w:r>
      <w:r>
        <w:br/>
      </w:r>
      <w:r>
        <w:t xml:space="preserve">от 19 ноября 2024 г. № 2589-ПП «О праздничном и тематическом оформлении в городе Москве»</w:t>
      </w:r>
      <w:r>
        <w:t xml:space="preserve"> </w:t>
      </w:r>
      <w:r>
        <w:rPr>
          <w:bCs/>
          <w:b/>
        </w:rPr>
        <w:t xml:space="preserve">объявлен отбор заявок на предоставление грантов юридическим лицам</w:t>
      </w:r>
      <w:r>
        <w:br/>
      </w:r>
      <w:r>
        <w:rPr>
          <w:bCs/>
          <w:b/>
        </w:rPr>
        <w:t xml:space="preserve">и индивидуальным предпринимателям, осуществившим зимнее оформление коммерческих помещений в городе Москве</w:t>
      </w:r>
      <w:r>
        <w:t xml:space="preserve">. Прием заявок осуществляется</w:t>
      </w:r>
      <w:r>
        <w:br/>
      </w:r>
      <w:r>
        <w:t xml:space="preserve">в электронном виде с 1 декабря по 28 декабря 2024 года.</w:t>
      </w:r>
    </w:p>
    <w:p>
      <w:pPr>
        <w:pStyle w:val="BodyText"/>
      </w:pPr>
      <w:r>
        <w:t xml:space="preserve">Претендовать на получение гранта могут предприятия торговли, общественного питания, сферы услуг и гостиницы, расположенные на первых этажах зданий</w:t>
      </w:r>
      <w:r>
        <w:br/>
      </w:r>
      <w:r>
        <w:t xml:space="preserve">и непосредственно выходящие фасадом/витриной/входной группой минимум на один</w:t>
      </w:r>
      <w:r>
        <w:br/>
      </w:r>
      <w:r>
        <w:t xml:space="preserve">из элементов улично-дорожной сети (улица, проспект, переулок, проезд, площадь, бульвар, тупик, съезд, шоссе, аллея).</w:t>
      </w:r>
    </w:p>
    <w:p>
      <w:pPr>
        <w:pStyle w:val="BodyText"/>
      </w:pPr>
      <w:r>
        <w:t xml:space="preserve">В рамках грантовой поддержки компенсируются услуги по разработке проекта оформления объекта, работы по доставке, установке и его монтажу, а также приобретение прав на использование программного обеспечения, оборудования и материалов, использованных при оформлении. Максимальный размер гранта составляет 2 млн рублей.</w:t>
      </w:r>
    </w:p>
    <w:p>
      <w:pPr>
        <w:pStyle w:val="BodyText"/>
      </w:pPr>
      <w:r>
        <w:t xml:space="preserve">Так, например, претендовать на получение гранта могут предприятия, оформившие фасады, витрины, входные группы или прилегающую территорию с использованием новогодних или световых элементов оформления, подвесных украшений, настенных и объемно-пространственных композиций.</w:t>
      </w:r>
    </w:p>
    <w:p>
      <w:pPr>
        <w:pStyle w:val="BodyText"/>
      </w:pPr>
      <w:hyperlink r:id="rId20">
        <w:r>
          <w:rPr>
            <w:rStyle w:val="Hyperlink"/>
          </w:rPr>
          <w:t xml:space="preserve">Инструкция как получить грант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Как подготовить документы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http://chertanovo-juzhnoe.mos.ru/consumer-market-and-economy/detail/12717683.html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85;&#1089;&#1090;&#1088;&#1091;&#1082;&#1094;&#1080;&#1103;%20&#1082;&#1072;&#1082;%20&#1087;&#1086;&#1083;&#1091;&#1095;&#1080;&#1090;&#1100;%20&#1043;&#1088;&#1072;&#1085;&#1090;%2002.12.pdf" TargetMode="External" /><Relationship Type="http://schemas.openxmlformats.org/officeDocument/2006/relationships/hyperlink" Id="rId21" Target="/&#1050;&#1072;&#1082;%20&#1087;&#1086;&#1076;&#1075;&#1086;&#1090;&#1086;&#1074;&#1080;&#1090;&#1100;%20&#1076;&#1086;&#1082;&#1091;&#1084;&#1077;&#1085;&#1090;&#1099;.pdf" TargetMode="External" /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consumer-market-and-economy/detail/12717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85;&#1089;&#1090;&#1088;&#1091;&#1082;&#1094;&#1080;&#1103;%20&#1082;&#1072;&#1082;%20&#1087;&#1086;&#1083;&#1091;&#1095;&#1080;&#1090;&#1100;%20&#1043;&#1088;&#1072;&#1085;&#1090;%2002.12.pdf" TargetMode="External" /><Relationship Type="http://schemas.openxmlformats.org/officeDocument/2006/relationships/hyperlink" Id="rId21" Target="/&#1050;&#1072;&#1082;%20&#1087;&#1086;&#1076;&#1075;&#1086;&#1090;&#1086;&#1074;&#1080;&#1090;&#1100;%20&#1076;&#1086;&#1082;&#1091;&#1084;&#1077;&#1085;&#1090;&#1099;.pdf" TargetMode="External" /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consumer-market-and-economy/detail/12717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2025-04-10T02:25:33Z</dcterms:created>
  <dcterms:modified xsi:type="dcterms:W3CDTF">2025-04-10T02:25:33Z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