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ab5a74dd827602aed99db4bbbd00daae31bf5"/>
    <w:p>
      <w:pPr>
        <w:pStyle w:val="Heading3"/>
      </w:pPr>
      <w:r>
        <w:t xml:space="preserve">Продлен прием заявок на предоставление грантов индивидуальным предпринимателям и юридическим лицам</w:t>
      </w:r>
    </w:p>
    <w:p>
      <w:pPr>
        <w:pStyle w:val="FirstParagraph"/>
      </w:pPr>
      <w:r>
        <w:t xml:space="preserve">16.08.2024</w:t>
      </w:r>
    </w:p>
    <w:p>
      <w:pPr>
        <w:pStyle w:val="BodyText"/>
      </w:pPr>
      <w:r>
        <w:t xml:space="preserve">Претендовать на получение гранта могут предприятия торговли, общественного питания, бытовых услуг и гостиниц, расположенные на первых этажах зданий и непосредственно выходящие фасадом/витриной/входной группой минимум на один из элементов улично-дорожной сети (улица, проспект, переулок, проезд, площадь, бульвар, тупик, съезд, шоссе, аллея).</w:t>
      </w:r>
    </w:p>
    <w:p>
      <w:pPr>
        <w:pStyle w:val="BodyText"/>
      </w:pPr>
      <w:r>
        <w:t xml:space="preserve">В рамках грантовой поддержки компенсируются услуги по разработке проекта оформления объекта, работы по доставке, установке и его монтажу, а также приобретение прав на использование программного обеспечения, оборудования и материалов, использованных при оформлении. Максимальный размер гранта составляет 2 млн рублей.</w:t>
      </w:r>
    </w:p>
    <w:p>
      <w:pPr>
        <w:pStyle w:val="BodyText"/>
      </w:pPr>
      <w:r>
        <w:t xml:space="preserve">Так, например, претендовать на получение гранта могут предприятия, оформившие фасады, витрины, входные группы или летние веранды с использованием цветочных композиций, зеленых насаждений или любых украшений с применением цветов, растений или кустарников.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http://chertanovo-juzhnoe.mos.ru/consumer-market-and-economy/detail/12521908.html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consumer-market-and-economy/detail/125219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consumer-market-and-economy/detail/125219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2025-04-10T02:25:00Z</dcterms:created>
  <dcterms:modified xsi:type="dcterms:W3CDTF">2025-04-10T02:25:00Z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