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4272f13c70d8dd79aae57fb0ce9e7c51767076"/>
    <w:p>
      <w:pPr>
        <w:pStyle w:val="Heading3"/>
      </w:pPr>
      <w:r>
        <w:t xml:space="preserve">Рафик Загрутдинов: два культурно-досуговых центра построят в столице до конца года</w:t>
      </w:r>
    </w:p>
    <w:p>
      <w:pPr>
        <w:pStyle w:val="FirstParagraph"/>
      </w:pPr>
      <w:r>
        <w:t xml:space="preserve">26.06.2024</w:t>
      </w:r>
    </w:p>
    <w:p>
      <w:pPr>
        <w:pStyle w:val="BodyText"/>
      </w:pPr>
      <w:r>
        <w:t xml:space="preserve">До конца года в Москве за счет средств городского бюджета планируется ввести в эксплуатацию два культурно-досуговых центра. Об этом на пресс-конференции журналистам сообщил руководитель Департамента строительства, входящего в Комплекс градостроительной политики и строительства столицы,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«По государственной программе «Развитие культурно-туристической среды и сохранение культурного наследия» в парке «Михайловский сад» в марте этого года был открыт памятник народному артисту СССР Михаилу Ульянову. Кроме того, до конца года планируем ввести два культурно-досуговых центра: многофункциональный культурно-досуговый центр в районе Северное Бутово и культурно-досуговый центр «Полярный» в районе Южное Медведково», – рассказал</w:t>
      </w:r>
      <w:r>
        <w:t xml:space="preserve"> </w:t>
      </w:r>
      <w:r>
        <w:rPr>
          <w:bCs/>
          <w:b/>
        </w:rPr>
        <w:t xml:space="preserve">Рафик Загрутдинов.</w:t>
      </w:r>
    </w:p>
    <w:p>
      <w:pPr>
        <w:pStyle w:val="BodyText"/>
      </w:pPr>
      <w:r>
        <w:t xml:space="preserve">Оба объекта находятся в высокой степени готовности. В зданиях ведутся отделочные работы.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http://chertanovo-juzhnoe.mos.ru/construction-and-reconstruction/detail/12447455.html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construction-and-reconstruction/detail/124474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construction-and-reconstruction/detail/124474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2024-07-17T19:16:21Z</dcterms:created>
  <dcterms:modified xsi:type="dcterms:W3CDTF">2024-07-17T19:16:21Z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