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619bc50ff3931991fe8551be9d68f861e50e3c"/>
    <w:p>
      <w:pPr>
        <w:pStyle w:val="Heading3"/>
      </w:pPr>
      <w:r>
        <w:t xml:space="preserve">ПЛАН МЕРОПРИЯТИЙ УПРАВЫ РАЙОНА ЧЕРТАНОВО ЮЖНОЕ С 25 АПРЕЛЯ по 01 МАЯ 2022 ГОДА</w:t>
      </w:r>
    </w:p>
    <w:p>
      <w:pPr>
        <w:pStyle w:val="FirstParagraph"/>
      </w:pPr>
      <w:r>
        <w:t xml:space="preserve">27.04.2022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25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территории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зал-заседаний-управы-района"/>
            <w:r>
              <w:t xml:space="preserve">Зал заседаний управы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10.00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Заседание Координационного совета.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Повестка дня: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1. Об организации работы с общественными советниками.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2. О санитарном состоянии спортивных площадок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 по жилищно-коммунальным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 № 12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социальной защиты, оказания материальной помощи.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Каб.№ 22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гаражно-стояночного хозяйства.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 № 20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потребительского рынка и услуг.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26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Автозаводская, д.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санитарного состояния и уборка территории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27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территории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28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уборка территории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29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территории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управы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санитарном состоянии и благоустройстве территории района.</w:t>
            </w:r>
          </w:p>
          <w:p>
            <w:pPr>
              <w:jc w:val="left"/>
            </w:pPr>
            <w:r>
              <w:t xml:space="preserve">2. О ходе работ по сносу гаражей.</w:t>
            </w:r>
          </w:p>
          <w:p>
            <w:pPr>
              <w:jc w:val="left"/>
            </w:pPr>
            <w:r>
              <w:t xml:space="preserve">3.О поступлении денежных средств по оплате за жилищно-коммунальные услуги населения района.</w:t>
            </w:r>
          </w:p>
          <w:p>
            <w:pPr>
              <w:jc w:val="left"/>
            </w:pPr>
            <w:r>
              <w:t xml:space="preserve">4.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5.Об обработке данных поступивших на городские порталы: «Наш город», «Дороги Москвы».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30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территории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территории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состояния и санитарного состояния и уборка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Россошанская ул., 4-2, МФЦ района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выявлению освободившейся площади.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http://chertanovo-juzhnoe.mos.ru/about/the-plan-of-measures/detail/10780136.html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7801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7801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2025-03-02T04:12:39Z</dcterms:created>
  <dcterms:modified xsi:type="dcterms:W3CDTF">2025-03-02T04:12:39Z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