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8aa2d3a0a8f711ec405a6999ae1f62679f7b2e"/>
    <w:p>
      <w:pPr>
        <w:pStyle w:val="Heading3"/>
      </w:pPr>
      <w:r>
        <w:t xml:space="preserve">ПЛАН МЕРОПРИЯТИЙ УПРАВЫ РАЙОНА ЧЕРТАНОВО ЮЖНОЕ С 21 ПО 27 ИЮНЯ 2021 ГОДА</w:t>
      </w:r>
    </w:p>
    <w:p>
      <w:pPr>
        <w:pStyle w:val="FirstParagraph"/>
      </w:pPr>
      <w:r>
        <w:t xml:space="preserve">23.07.2021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управа-района"/>
            <w:r>
              <w:t xml:space="preserve">управа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Заседание Координационного Совета.</w:t>
            </w:r>
          </w:p>
          <w:p>
            <w:pPr>
              <w:jc w:val="left"/>
            </w:pPr>
            <w:r>
              <w:t xml:space="preserve">Повестка дня: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 О работе по погашению задолженности за услуги ЖКХ.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 вопросах, рассмотренных на штабе проводимым префектом.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http://chertanovo-juzhnoe.mos.ru/about/the-plan-of-measures/detail/10129975.html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1299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1299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2023-10-05T16:41:35Z</dcterms:created>
  <dcterms:modified xsi:type="dcterms:W3CDTF">2023-10-05T16:41:35Z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